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As filed with the Securities and Exchange Commission on March 5, 2020</w:t>
      </w:r>
    </w:p>
    <w:p>
      <w:pPr>
        <w:spacing w:after="0" w:line="268"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LLC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89" w:orient="portrait"/>
          <w:cols w:equalWidth="0" w:num="1">
            <w:col w:w="11420"/>
          </w:cols>
          <w:pgMar w:left="240" w:top="220" w:right="239" w:bottom="0" w:gutter="0" w:footer="0" w:header="0"/>
        </w:sectPr>
      </w:pPr>
    </w:p>
    <w:p>
      <w:pPr>
        <w:spacing w:after="0" w:line="200" w:lineRule="exact"/>
        <w:rPr>
          <w:sz w:val="24"/>
          <w:szCs w:val="24"/>
          <w:color w:val="auto"/>
        </w:rPr>
      </w:pPr>
    </w:p>
    <w:p>
      <w:pPr>
        <w:spacing w:after="0" w:line="288"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50" w:lineRule="exact"/>
        <w:rPr>
          <w:sz w:val="24"/>
          <w:szCs w:val="24"/>
          <w:color w:val="auto"/>
        </w:rPr>
      </w:pPr>
    </w:p>
    <w:p>
      <w:pPr>
        <w:sectPr>
          <w:pgSz w:w="11900" w:h="16889" w:orient="portrait"/>
          <w:cols w:equalWidth="0" w:num="2">
            <w:col w:w="7460" w:space="720"/>
            <w:col w:w="3240"/>
          </w:cols>
          <w:pgMar w:left="240" w:top="220" w:right="239" w:bottom="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89" w:orient="portrait"/>
          <w:cols w:equalWidth="0" w:num="2">
            <w:col w:w="6440" w:space="720"/>
            <w:col w:w="4260"/>
          </w:cols>
          <w:pgMar w:left="240" w:top="220"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111 W. 19th Street, 8th Floor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New York, NY 10011</w:t>
      </w:r>
    </w:p>
    <w:p>
      <w:pPr>
        <w:jc w:val="center"/>
        <w:spacing w:after="0" w:line="230" w:lineRule="auto"/>
        <w:rPr>
          <w:sz w:val="20"/>
          <w:szCs w:val="20"/>
          <w:color w:val="auto"/>
        </w:rPr>
      </w:pPr>
      <w:r>
        <w:rPr>
          <w:rFonts w:ascii="Arial" w:cs="Arial" w:eastAsia="Arial" w:hAnsi="Arial"/>
          <w:sz w:val="22"/>
          <w:szCs w:val="22"/>
          <w:b w:val="1"/>
          <w:bCs w:val="1"/>
          <w:color w:val="auto"/>
        </w:rPr>
        <w:t>(516) 268-7400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including zip code, and telephone number, including area code, of registrant’s principal executive offices)</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Cameron D. MacDougall, Esq.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-160020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111 W. 19th Street, 8th Floor</w:t>
      </w:r>
    </w:p>
    <w:p>
      <w:pPr>
        <w:jc w:val="center"/>
        <w:spacing w:after="0" w:line="231" w:lineRule="auto"/>
        <w:rPr>
          <w:sz w:val="20"/>
          <w:szCs w:val="20"/>
          <w:color w:val="auto"/>
        </w:rPr>
      </w:pPr>
      <w:r>
        <w:rPr>
          <w:rFonts w:ascii="Arial" w:cs="Arial" w:eastAsia="Arial" w:hAnsi="Arial"/>
          <w:sz w:val="22"/>
          <w:szCs w:val="22"/>
          <w:b w:val="1"/>
          <w:bCs w:val="1"/>
          <w:color w:val="auto"/>
        </w:rPr>
        <w:t>New York, NY 10011</w:t>
      </w:r>
    </w:p>
    <w:p>
      <w:pPr>
        <w:jc w:val="center"/>
        <w:spacing w:after="0" w:line="230" w:lineRule="auto"/>
        <w:rPr>
          <w:sz w:val="20"/>
          <w:szCs w:val="20"/>
          <w:color w:val="auto"/>
        </w:rPr>
      </w:pPr>
      <w:r>
        <w:rPr>
          <w:rFonts w:ascii="Arial" w:cs="Arial" w:eastAsia="Arial" w:hAnsi="Arial"/>
          <w:sz w:val="22"/>
          <w:szCs w:val="22"/>
          <w:b w:val="1"/>
          <w:bCs w:val="1"/>
          <w:color w:val="auto"/>
        </w:rPr>
        <w:t>(516) 268-7400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Copies to:</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Michael J. Zeidel, Esq.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Michael J. Schwartz, Esq.</w:t>
      </w:r>
    </w:p>
    <w:p>
      <w:pPr>
        <w:jc w:val="center"/>
        <w:spacing w:after="0" w:line="230" w:lineRule="auto"/>
        <w:rPr>
          <w:sz w:val="20"/>
          <w:szCs w:val="20"/>
          <w:color w:val="auto"/>
        </w:rPr>
      </w:pPr>
      <w:r>
        <w:rPr>
          <w:rFonts w:ascii="Arial" w:cs="Arial" w:eastAsia="Arial" w:hAnsi="Arial"/>
          <w:sz w:val="22"/>
          <w:szCs w:val="22"/>
          <w:b w:val="1"/>
          <w:bCs w:val="1"/>
          <w:color w:val="auto"/>
        </w:rPr>
        <w:t>Skadden, Arps, Slate, Meagher &amp; Flom LLP</w:t>
      </w:r>
    </w:p>
    <w:p>
      <w:pPr>
        <w:jc w:val="center"/>
        <w:spacing w:after="0" w:line="231" w:lineRule="auto"/>
        <w:rPr>
          <w:sz w:val="20"/>
          <w:szCs w:val="20"/>
          <w:color w:val="auto"/>
        </w:rPr>
      </w:pPr>
      <w:r>
        <w:rPr>
          <w:rFonts w:ascii="Arial" w:cs="Arial" w:eastAsia="Arial" w:hAnsi="Arial"/>
          <w:sz w:val="22"/>
          <w:szCs w:val="22"/>
          <w:b w:val="1"/>
          <w:bCs w:val="1"/>
          <w:color w:val="auto"/>
        </w:rPr>
        <w:t>One Manhattan West</w:t>
      </w:r>
    </w:p>
    <w:p>
      <w:pPr>
        <w:jc w:val="center"/>
        <w:spacing w:after="0" w:line="230" w:lineRule="auto"/>
        <w:rPr>
          <w:sz w:val="20"/>
          <w:szCs w:val="20"/>
          <w:color w:val="auto"/>
        </w:rPr>
      </w:pPr>
      <w:r>
        <w:rPr>
          <w:rFonts w:ascii="Arial" w:cs="Arial" w:eastAsia="Arial" w:hAnsi="Arial"/>
          <w:sz w:val="22"/>
          <w:szCs w:val="22"/>
          <w:b w:val="1"/>
          <w:bCs w:val="1"/>
          <w:color w:val="auto"/>
        </w:rPr>
        <w:t>New York, New York 10001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22" w:lineRule="exact"/>
        <w:rPr>
          <w:sz w:val="24"/>
          <w:szCs w:val="24"/>
          <w:color w:val="auto"/>
        </w:rPr>
      </w:pPr>
    </w:p>
    <w:p>
      <w:pPr>
        <w:ind w:right="1000" w:firstLine="324"/>
        <w:spacing w:after="0" w:line="251" w:lineRule="auto"/>
        <w:rPr>
          <w:sz w:val="20"/>
          <w:szCs w:val="20"/>
          <w:color w:val="auto"/>
        </w:rPr>
      </w:pPr>
      <w:r>
        <w:rPr>
          <w:rFonts w:ascii="Arial" w:cs="Arial" w:eastAsia="Arial" w:hAnsi="Arial"/>
          <w:sz w:val="22"/>
          <w:szCs w:val="22"/>
          <w:color w:val="auto"/>
        </w:rPr>
        <w:t>Approximate date of commencement of proposed sale to the public: From time to time after the effective date of this registration statement.</w:t>
      </w:r>
    </w:p>
    <w:p>
      <w:pPr>
        <w:spacing w:after="0" w:line="200" w:lineRule="exact"/>
        <w:rPr>
          <w:sz w:val="24"/>
          <w:szCs w:val="24"/>
          <w:color w:val="auto"/>
        </w:rPr>
      </w:pPr>
    </w:p>
    <w:p>
      <w:pPr>
        <w:ind w:right="100" w:firstLine="324"/>
        <w:spacing w:after="0" w:line="278" w:lineRule="exact"/>
        <w:rPr>
          <w:sz w:val="20"/>
          <w:szCs w:val="20"/>
          <w:color w:val="auto"/>
        </w:rPr>
      </w:pPr>
      <w:r>
        <w:rPr>
          <w:rFonts w:ascii="Arial" w:cs="Arial" w:eastAsia="Arial" w:hAnsi="Arial"/>
          <w:sz w:val="22"/>
          <w:szCs w:val="2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360" w:firstLine="324"/>
        <w:spacing w:after="0" w:line="266"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22"/>
          <w:szCs w:val="22"/>
          <w:color w:val="auto"/>
        </w:rPr>
        <w:t>☒</w:t>
      </w:r>
    </w:p>
    <w:p>
      <w:pPr>
        <w:spacing w:after="0" w:line="189" w:lineRule="exact"/>
        <w:rPr>
          <w:sz w:val="24"/>
          <w:szCs w:val="24"/>
          <w:color w:val="auto"/>
        </w:rPr>
      </w:pPr>
    </w:p>
    <w:p>
      <w:pPr>
        <w:ind w:right="220" w:firstLine="324"/>
        <w:spacing w:after="0" w:line="266"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pacing w:after="0" w:line="189" w:lineRule="exact"/>
        <w:rPr>
          <w:sz w:val="24"/>
          <w:szCs w:val="24"/>
          <w:color w:val="auto"/>
        </w:rPr>
      </w:pPr>
    </w:p>
    <w:p>
      <w:pPr>
        <w:ind w:right="160" w:firstLine="324"/>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89" w:lineRule="exact"/>
        <w:rPr>
          <w:sz w:val="24"/>
          <w:szCs w:val="24"/>
          <w:color w:val="auto"/>
        </w:rPr>
      </w:pPr>
    </w:p>
    <w:p>
      <w:pPr>
        <w:ind w:right="280" w:firstLine="324"/>
        <w:spacing w:after="0" w:line="277" w:lineRule="exact"/>
        <w:rPr>
          <w:sz w:val="20"/>
          <w:szCs w:val="20"/>
          <w:color w:val="auto"/>
        </w:rPr>
      </w:pPr>
      <w:r>
        <w:rPr>
          <w:rFonts w:ascii="Arial" w:cs="Arial" w:eastAsia="Arial" w:hAnsi="Arial"/>
          <w:sz w:val="19"/>
          <w:szCs w:val="19"/>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0" w:firstLine="324"/>
        <w:spacing w:after="0" w:line="277" w:lineRule="exact"/>
        <w:rPr>
          <w:sz w:val="20"/>
          <w:szCs w:val="20"/>
          <w:color w:val="auto"/>
        </w:rPr>
      </w:pPr>
      <w:r>
        <w:rPr>
          <w:rFonts w:ascii="Arial" w:cs="Arial" w:eastAsia="Arial" w:hAnsi="Arial"/>
          <w:sz w:val="19"/>
          <w:szCs w:val="19"/>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9"/>
          <w:szCs w:val="19"/>
          <w:color w:val="auto"/>
        </w:rPr>
        <w:t>☐</w:t>
      </w:r>
    </w:p>
    <w:p>
      <w:pPr>
        <w:sectPr>
          <w:pgSz w:w="11900" w:h="16889" w:orient="portrait"/>
          <w:cols w:equalWidth="0" w:num="1">
            <w:col w:w="11420"/>
          </w:cols>
          <w:pgMar w:left="240" w:top="220" w:right="239" w:bottom="0" w:gutter="0" w:footer="0" w:header="0"/>
          <w:type w:val="continuous"/>
        </w:sectPr>
      </w:pPr>
    </w:p>
    <w:bookmarkStart w:id="1" w:name="page2"/>
    <w:bookmarkEnd w:id="1"/>
    <w:p>
      <w:pPr>
        <w:ind w:right="200" w:firstLine="324"/>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780"/>
              <w:spacing w:after="0"/>
              <w:rPr>
                <w:sz w:val="20"/>
                <w:szCs w:val="20"/>
                <w:color w:val="auto"/>
              </w:rPr>
            </w:pPr>
            <w:r>
              <w:rPr>
                <w:rFonts w:ascii="Arial" w:cs="Arial" w:eastAsia="Arial" w:hAnsi="Arial"/>
                <w:sz w:val="18"/>
                <w:szCs w:val="18"/>
                <w:color w:val="auto"/>
                <w:w w:val="97"/>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00" w:type="dxa"/>
            <w:vAlign w:val="bottom"/>
          </w:tcPr>
          <w:p>
            <w:pPr>
              <w:ind w:left="278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complying with any new or revised financial accounting standards provided pursuant to Section 7(a)(2)(B) of the Securities Act.</w:t>
      </w:r>
    </w:p>
    <w:p>
      <w:pPr>
        <w:spacing w:after="0" w:line="30"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-160020</wp:posOffset>
            </wp:positionV>
            <wp:extent cx="1449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54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300" w:type="dxa"/>
            <w:vAlign w:val="bottom"/>
            <w:tcBorders>
              <w:top w:val="single" w:sz="8" w:color="auto"/>
              <w:bottom w:val="single" w:sz="8" w:color="auto"/>
              <w:right w:val="single" w:sz="8" w:color="auto"/>
            </w:tcBorders>
          </w:tcPr>
          <w:p>
            <w:pPr>
              <w:spacing w:after="0"/>
              <w:rPr>
                <w:sz w:val="20"/>
                <w:szCs w:val="20"/>
                <w:color w:val="auto"/>
              </w:rPr>
            </w:pPr>
          </w:p>
        </w:tc>
        <w:tc>
          <w:tcPr>
            <w:tcW w:w="1600" w:type="dxa"/>
            <w:vAlign w:val="bottom"/>
            <w:tcBorders>
              <w:top w:val="single" w:sz="8" w:color="auto"/>
              <w:bottom w:val="single" w:sz="8" w:color="auto"/>
              <w:right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right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right w:val="single" w:sz="8" w:color="auto"/>
            </w:tcBorders>
          </w:tcPr>
          <w:p>
            <w:pPr>
              <w:spacing w:after="0"/>
              <w:rPr>
                <w:sz w:val="20"/>
                <w:szCs w:val="20"/>
                <w:color w:val="auto"/>
              </w:rPr>
            </w:pPr>
          </w:p>
        </w:tc>
      </w:tr>
      <w:tr>
        <w:trPr>
          <w:trHeight w:val="198"/>
        </w:trPr>
        <w:tc>
          <w:tcPr>
            <w:tcW w:w="542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right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86"/>
              </w:rPr>
              <w:t>Proposed</w:t>
            </w:r>
          </w:p>
        </w:tc>
        <w:tc>
          <w:tcPr>
            <w:tcW w:w="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Maximum</w:t>
            </w:r>
          </w:p>
        </w:tc>
        <w:tc>
          <w:tcPr>
            <w:tcW w:w="2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80" w:type="dxa"/>
            <w:vAlign w:val="bottom"/>
          </w:tcPr>
          <w:p>
            <w:pPr>
              <w:spacing w:after="0"/>
              <w:rPr>
                <w:sz w:val="18"/>
                <w:szCs w:val="18"/>
                <w:color w:val="auto"/>
              </w:rPr>
            </w:pPr>
          </w:p>
        </w:tc>
        <w:tc>
          <w:tcPr>
            <w:tcW w:w="140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2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16"/>
        </w:trPr>
        <w:tc>
          <w:tcPr>
            <w:tcW w:w="5420" w:type="dxa"/>
            <w:vAlign w:val="bottom"/>
            <w:tcBorders>
              <w:left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rPr>
              <w:t>Title of Each Class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80" w:type="dxa"/>
            <w:vAlign w:val="bottom"/>
          </w:tcPr>
          <w:p>
            <w:pPr>
              <w:spacing w:after="0"/>
              <w:rPr>
                <w:sz w:val="18"/>
                <w:szCs w:val="18"/>
                <w:color w:val="auto"/>
              </w:rPr>
            </w:pPr>
          </w:p>
        </w:tc>
        <w:tc>
          <w:tcPr>
            <w:tcW w:w="140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Offering</w:t>
            </w:r>
          </w:p>
        </w:tc>
        <w:tc>
          <w:tcPr>
            <w:tcW w:w="260" w:type="dxa"/>
            <w:vAlign w:val="bottom"/>
          </w:tcPr>
          <w:p>
            <w:pPr>
              <w:spacing w:after="0"/>
              <w:rPr>
                <w:sz w:val="18"/>
                <w:szCs w:val="18"/>
                <w:color w:val="auto"/>
              </w:rPr>
            </w:pPr>
          </w:p>
        </w:tc>
        <w:tc>
          <w:tcPr>
            <w:tcW w:w="12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Amount of</w:t>
            </w:r>
          </w:p>
        </w:tc>
      </w:tr>
      <w:tr>
        <w:trPr>
          <w:trHeight w:val="241"/>
        </w:trPr>
        <w:tc>
          <w:tcPr>
            <w:tcW w:w="5420" w:type="dxa"/>
            <w:vAlign w:val="bottom"/>
            <w:tcBorders>
              <w:left w:val="single" w:sz="8" w:color="auto"/>
              <w:bottom w:val="single" w:sz="8" w:color="auto"/>
              <w:right w:val="single" w:sz="8" w:color="auto"/>
            </w:tcBorders>
          </w:tcPr>
          <w:p>
            <w:pPr>
              <w:ind w:left="1700"/>
              <w:spacing w:after="0"/>
              <w:rPr>
                <w:sz w:val="20"/>
                <w:szCs w:val="20"/>
                <w:color w:val="auto"/>
              </w:rPr>
            </w:pPr>
            <w:r>
              <w:rPr>
                <w:rFonts w:ascii="Arial" w:cs="Arial" w:eastAsia="Arial" w:hAnsi="Arial"/>
                <w:sz w:val="18"/>
                <w:szCs w:val="18"/>
                <w:b w:val="1"/>
                <w:bCs w:val="1"/>
                <w:color w:val="auto"/>
              </w:rPr>
              <w:t>Securities to be Registered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Registered (1)(3)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Per Unit (1)(3)</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Price (1)(2)(3)</w:t>
            </w:r>
          </w:p>
        </w:tc>
        <w:tc>
          <w:tcPr>
            <w:tcW w:w="152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Registration Fee</w:t>
            </w:r>
          </w:p>
        </w:tc>
      </w:tr>
      <w:tr>
        <w:trPr>
          <w:trHeight w:val="223"/>
        </w:trPr>
        <w:tc>
          <w:tcPr>
            <w:tcW w:w="5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Primary Offering</w:t>
            </w:r>
          </w:p>
        </w:tc>
        <w:tc>
          <w:tcPr>
            <w:tcW w:w="13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r>
        <w:trPr>
          <w:trHeight w:val="223"/>
        </w:trPr>
        <w:tc>
          <w:tcPr>
            <w:tcW w:w="54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Class A shares representing limited liability company interests</w:t>
            </w:r>
          </w:p>
        </w:tc>
        <w:tc>
          <w:tcPr>
            <w:tcW w:w="1300" w:type="dxa"/>
            <w:vAlign w:val="bottom"/>
            <w:tcBorders>
              <w:bottom w:val="single" w:sz="8" w:color="auto"/>
              <w:right w:val="single" w:sz="8" w:color="auto"/>
            </w:tcBorders>
            <w:shd w:val="clear" w:color="auto" w:fill="CCEEFF"/>
          </w:tcPr>
          <w:p>
            <w:pPr>
              <w:spacing w:after="0"/>
              <w:rPr>
                <w:sz w:val="19"/>
                <w:szCs w:val="19"/>
                <w:color w:val="auto"/>
              </w:rPr>
            </w:pPr>
          </w:p>
        </w:tc>
        <w:tc>
          <w:tcPr>
            <w:tcW w:w="160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54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Preferred shares representing limited liability company interests</w:t>
            </w:r>
          </w:p>
        </w:tc>
        <w:tc>
          <w:tcPr>
            <w:tcW w:w="13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r>
        <w:trPr>
          <w:trHeight w:val="223"/>
        </w:trPr>
        <w:tc>
          <w:tcPr>
            <w:tcW w:w="54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Depositary shares (4)</w:t>
            </w:r>
          </w:p>
        </w:tc>
        <w:tc>
          <w:tcPr>
            <w:tcW w:w="1300" w:type="dxa"/>
            <w:vAlign w:val="bottom"/>
            <w:tcBorders>
              <w:bottom w:val="single" w:sz="8" w:color="auto"/>
              <w:right w:val="single" w:sz="8" w:color="auto"/>
            </w:tcBorders>
            <w:shd w:val="clear" w:color="auto" w:fill="CCEEFF"/>
          </w:tcPr>
          <w:p>
            <w:pPr>
              <w:spacing w:after="0"/>
              <w:rPr>
                <w:sz w:val="19"/>
                <w:szCs w:val="19"/>
                <w:color w:val="auto"/>
              </w:rPr>
            </w:pPr>
          </w:p>
        </w:tc>
        <w:tc>
          <w:tcPr>
            <w:tcW w:w="160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54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Debt securities</w:t>
            </w:r>
          </w:p>
        </w:tc>
        <w:tc>
          <w:tcPr>
            <w:tcW w:w="13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r>
        <w:trPr>
          <w:trHeight w:val="223"/>
        </w:trPr>
        <w:tc>
          <w:tcPr>
            <w:tcW w:w="54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auto"/>
              <w:right w:val="single" w:sz="8" w:color="auto"/>
            </w:tcBorders>
            <w:shd w:val="clear" w:color="auto" w:fill="CCEEFF"/>
          </w:tcPr>
          <w:p>
            <w:pPr>
              <w:spacing w:after="0"/>
              <w:rPr>
                <w:sz w:val="19"/>
                <w:szCs w:val="19"/>
                <w:color w:val="auto"/>
              </w:rPr>
            </w:pPr>
          </w:p>
        </w:tc>
        <w:tc>
          <w:tcPr>
            <w:tcW w:w="160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50"/>
        </w:trPr>
        <w:tc>
          <w:tcPr>
            <w:tcW w:w="54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Total Primary Offering</w:t>
            </w:r>
          </w:p>
        </w:tc>
        <w:tc>
          <w:tcPr>
            <w:tcW w:w="13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32,450</w:t>
            </w:r>
          </w:p>
        </w:tc>
      </w:tr>
      <w:tr>
        <w:trPr>
          <w:trHeight w:val="250"/>
        </w:trPr>
        <w:tc>
          <w:tcPr>
            <w:tcW w:w="54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Secondary Offering</w:t>
            </w:r>
          </w:p>
        </w:tc>
        <w:tc>
          <w:tcPr>
            <w:tcW w:w="1300" w:type="dxa"/>
            <w:vAlign w:val="bottom"/>
            <w:tcBorders>
              <w:bottom w:val="single" w:sz="8" w:color="auto"/>
              <w:right w:val="single" w:sz="8" w:color="auto"/>
            </w:tcBorders>
            <w:shd w:val="clear" w:color="auto" w:fill="CCEEFF"/>
          </w:tcPr>
          <w:p>
            <w:pPr>
              <w:spacing w:after="0"/>
              <w:rPr>
                <w:sz w:val="21"/>
                <w:szCs w:val="21"/>
                <w:color w:val="auto"/>
              </w:rPr>
            </w:pPr>
          </w:p>
        </w:tc>
        <w:tc>
          <w:tcPr>
            <w:tcW w:w="1600" w:type="dxa"/>
            <w:vAlign w:val="bottom"/>
            <w:tcBorders>
              <w:bottom w:val="single" w:sz="8" w:color="auto"/>
              <w:right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right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50"/>
        </w:trPr>
        <w:tc>
          <w:tcPr>
            <w:tcW w:w="54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Class A shares representing limited liability company interests</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145,050,664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$13.86(5)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2,010,402,203.04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260,950.21</w:t>
            </w:r>
          </w:p>
        </w:tc>
      </w:tr>
      <w:tr>
        <w:trPr>
          <w:trHeight w:val="250"/>
        </w:trPr>
        <w:tc>
          <w:tcPr>
            <w:tcW w:w="54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right w:val="single" w:sz="8" w:color="auto"/>
            </w:tcBorders>
            <w:shd w:val="clear" w:color="auto" w:fill="CCEEFF"/>
          </w:tcPr>
          <w:p>
            <w:pPr>
              <w:spacing w:after="0"/>
              <w:rPr>
                <w:sz w:val="21"/>
                <w:szCs w:val="21"/>
                <w:color w:val="auto"/>
              </w:rPr>
            </w:pPr>
          </w:p>
        </w:tc>
        <w:tc>
          <w:tcPr>
            <w:tcW w:w="1600" w:type="dxa"/>
            <w:vAlign w:val="bottom"/>
            <w:tcBorders>
              <w:bottom w:val="single" w:sz="8" w:color="auto"/>
              <w:right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2,260,402,203.04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293,400.21</w:t>
            </w:r>
          </w:p>
        </w:tc>
      </w:tr>
    </w:tbl>
    <w:p>
      <w:pPr>
        <w:spacing w:after="0" w:line="229" w:lineRule="exact"/>
        <w:rPr>
          <w:sz w:val="20"/>
          <w:szCs w:val="20"/>
          <w:color w:val="auto"/>
        </w:rPr>
      </w:pPr>
    </w:p>
    <w:p>
      <w:pPr>
        <w:ind w:left="340" w:right="20" w:hanging="332"/>
        <w:spacing w:after="0" w:line="28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number of or aggregate principal amount of the securities is being registered as may at various times be issued at indeterminate prices, with an aggregate public offering price not to exceed $250,000,000 or the equivalent thereof in one or more currencies or, if any debt securities are issued at any original issue discount, such greater amount as shall result in net proceeds of $250,000,000 to the registrant. In addition, up to 145,050,664 Class A shares representing limited liability company interests may be offered pursuant to this registration statement by the selling securityholders.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of the Securities Act.</w:t>
      </w:r>
    </w:p>
    <w:p>
      <w:pPr>
        <w:spacing w:after="0" w:line="9" w:lineRule="exact"/>
        <w:rPr>
          <w:rFonts w:ascii="Arial" w:cs="Arial" w:eastAsia="Arial" w:hAnsi="Arial"/>
          <w:sz w:val="18"/>
          <w:szCs w:val="18"/>
          <w:color w:val="auto"/>
        </w:rPr>
      </w:pPr>
    </w:p>
    <w:p>
      <w:pPr>
        <w:ind w:left="340" w:right="54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the securities being registered hereunder include such indeterminate number of securities as may be issuable with respect to the shares being registered hereunder as a result of share splits, share dividends or similar transactions.</w:t>
      </w:r>
    </w:p>
    <w:p>
      <w:pPr>
        <w:ind w:left="340" w:right="1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and will be evidenced by a depositary receipt. In the event New Fortress Energy LLC or selling securityholders elect to offer to the public fractional interests in shares of the preferred shares registered hereunder, depositary receipts will be distributed to those persons purchasing such fractional interests, and shares of preferred shares will be issued to the depositary under the deposit agreement. No separate consideration will be received for the depositary shares.</w:t>
      </w:r>
    </w:p>
    <w:p>
      <w:pPr>
        <w:spacing w:after="0" w:line="1"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to calculate the registration fee in accordance with Rule 457(c) of the Securities Act on the basis of the average of the high and low sales prices of the registrant’s Class A shares representing limited liability company interests as reported by NASDAQ Global Select Market on February 28, 2020.</w:t>
      </w:r>
    </w:p>
    <w:p>
      <w:pPr>
        <w:spacing w:after="0" w:line="204" w:lineRule="exact"/>
        <w:rPr>
          <w:sz w:val="20"/>
          <w:szCs w:val="20"/>
          <w:color w:val="auto"/>
        </w:rPr>
      </w:pPr>
    </w:p>
    <w:p>
      <w:pPr>
        <w:jc w:val="both"/>
        <w:ind w:right="180"/>
        <w:spacing w:after="0" w:line="289" w:lineRule="auto"/>
        <w:rPr>
          <w:sz w:val="20"/>
          <w:szCs w:val="20"/>
          <w:color w:val="auto"/>
        </w:rPr>
      </w:pPr>
      <w:r>
        <w:rPr>
          <w:rFonts w:ascii="Arial" w:cs="Arial" w:eastAsia="Arial" w:hAnsi="Arial"/>
          <w:sz w:val="19"/>
          <w:szCs w:val="19"/>
          <w:b w:val="1"/>
          <w:bCs w:val="1"/>
          <w:color w:val="auto"/>
        </w:rPr>
        <w:t>We hereby amend this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or until the registration statement becomes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 w:name="page3"/>
    <w:bookmarkEnd w:id="2"/>
    <w:p>
      <w:pPr>
        <w:ind w:right="80"/>
        <w:spacing w:after="0" w:line="301" w:lineRule="auto"/>
        <w:rPr>
          <w:sz w:val="20"/>
          <w:szCs w:val="20"/>
          <w:color w:val="auto"/>
        </w:rPr>
      </w:pPr>
      <w:r>
        <w:rPr>
          <w:rFonts w:ascii="Arial" w:cs="Arial" w:eastAsia="Arial" w:hAnsi="Arial"/>
          <w:sz w:val="19"/>
          <w:szCs w:val="19"/>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4040"/>
        </w:rPr>
        <w:t>SUBJECT TO COMPLETION, DATED MARCH 5 ,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New Fortress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-3175</wp:posOffset>
            </wp:positionV>
            <wp:extent cx="182689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A Shares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Shares</w:t>
      </w:r>
    </w:p>
    <w:p>
      <w:pPr>
        <w:jc w:val="center"/>
        <w:ind w:right="-19"/>
        <w:spacing w:after="0" w:line="230" w:lineRule="auto"/>
        <w:rPr>
          <w:sz w:val="20"/>
          <w:szCs w:val="20"/>
          <w:color w:val="auto"/>
        </w:rPr>
      </w:pPr>
      <w:r>
        <w:rPr>
          <w:rFonts w:ascii="Arial" w:cs="Arial" w:eastAsia="Arial" w:hAnsi="Arial"/>
          <w:sz w:val="22"/>
          <w:szCs w:val="22"/>
          <w:b w:val="1"/>
          <w:bCs w:val="1"/>
          <w:color w:val="auto"/>
        </w:rPr>
        <w:t>Depositary Shares</w:t>
      </w:r>
    </w:p>
    <w:p>
      <w:pPr>
        <w:jc w:val="center"/>
        <w:ind w:right="-19"/>
        <w:spacing w:after="0" w:line="231" w:lineRule="auto"/>
        <w:rPr>
          <w:sz w:val="20"/>
          <w:szCs w:val="20"/>
          <w:color w:val="auto"/>
        </w:rPr>
      </w:pPr>
      <w:r>
        <w:rPr>
          <w:rFonts w:ascii="Arial" w:cs="Arial" w:eastAsia="Arial" w:hAnsi="Arial"/>
          <w:sz w:val="22"/>
          <w:szCs w:val="22"/>
          <w:b w:val="1"/>
          <w:bCs w:val="1"/>
          <w:color w:val="auto"/>
        </w:rPr>
        <w:t>Debt Securities</w:t>
      </w: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145,050,664 Class A Shares Offered by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This prospectus relates to Class A shares representing limited liability company interests (the “Class A shares”), preferred shares representing limited liability company interests (the “preferred shares”), depositary receipts, representing fractional shares of our preferred shares (the “depositary shares”), debt securities, which may be senior debt securities or subordinated debt securities, and warrants to purchase shares of our Class A shares, preferred shares or our debt securities which we may offer and sell from time to time in one or more offerings up to an aggregate public offering price of $250,000,000. The selling securityholders may also offer and sell up to 145,050,664 Class A shares from time to time. We will not receive any of the proceeds from the sale of our Class A shares by the selling securityholders.</w:t>
      </w:r>
    </w:p>
    <w:p>
      <w:pPr>
        <w:spacing w:after="0" w:line="20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149225</wp:posOffset>
            </wp:positionV>
            <wp:extent cx="1449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280" w:firstLine="324"/>
        <w:spacing w:after="0" w:line="256" w:lineRule="auto"/>
        <w:rPr>
          <w:sz w:val="20"/>
          <w:szCs w:val="20"/>
          <w:color w:val="auto"/>
        </w:rPr>
      </w:pPr>
      <w:r>
        <w:rPr>
          <w:rFonts w:ascii="Arial" w:cs="Arial" w:eastAsia="Arial" w:hAnsi="Arial"/>
          <w:sz w:val="22"/>
          <w:szCs w:val="22"/>
          <w:b w:val="1"/>
          <w:bCs w:val="1"/>
          <w:color w:val="auto"/>
        </w:rPr>
        <w:t>Investing in our securities involves a number of risks. See “Risk Factors” on page 6 before you make your investment decision.</w:t>
      </w:r>
    </w:p>
    <w:p>
      <w:pPr>
        <w:spacing w:after="0" w:line="196"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We or the selling securityholders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Our Class A shares are listed on NASDAQ Global Select Market under the trading symbol “NFE.” Each prospectus supplement will indicate whether the securities offered thereby will be listed on any securities exchange.</w:t>
      </w:r>
    </w:p>
    <w:p>
      <w:pPr>
        <w:spacing w:after="0" w:line="194" w:lineRule="exact"/>
        <w:rPr>
          <w:sz w:val="20"/>
          <w:szCs w:val="20"/>
          <w:color w:val="auto"/>
        </w:rPr>
      </w:pPr>
    </w:p>
    <w:p>
      <w:pPr>
        <w:jc w:val="both"/>
        <w:ind w:right="200" w:firstLine="324"/>
        <w:spacing w:after="0" w:line="243"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146685</wp:posOffset>
            </wp:positionV>
            <wp:extent cx="1449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3760"/>
        <w:spacing w:after="0"/>
        <w:tabs>
          <w:tab w:leader="none" w:pos="7120" w:val="left"/>
        </w:tabs>
        <w:rPr>
          <w:sz w:val="20"/>
          <w:szCs w:val="20"/>
          <w:color w:val="auto"/>
        </w:rPr>
      </w:pPr>
      <w:r>
        <w:rPr>
          <w:rFonts w:ascii="Arial" w:cs="Arial" w:eastAsia="Arial" w:hAnsi="Arial"/>
          <w:sz w:val="22"/>
          <w:szCs w:val="22"/>
          <w:b w:val="1"/>
          <w:bCs w:val="1"/>
          <w:color w:val="auto"/>
        </w:rPr>
        <w:t>The date of this prospectus is</w:t>
      </w:r>
      <w:r>
        <w:rPr>
          <w:sz w:val="20"/>
          <w:szCs w:val="20"/>
          <w:color w:val="auto"/>
        </w:rPr>
        <w:tab/>
      </w:r>
      <w:r>
        <w:rPr>
          <w:rFonts w:ascii="Arial" w:cs="Arial" w:eastAsia="Arial" w:hAnsi="Arial"/>
          <w:sz w:val="19"/>
          <w:szCs w:val="19"/>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CAUTIONARY NOTE REGARDING FORWARD-LOOKING STATEMENTS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THE COMPANY</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USE OF PROCEEDS</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DESCRIPTION OF SHARES</w:t>
            </w:r>
          </w:p>
        </w:tc>
        <w:tc>
          <w:tcPr>
            <w:tcW w:w="1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DEPOSITARY SHARES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1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SELLING SECURITYHOLDERS</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OPERATING AGREEMENT AND PROVISIONS OF DELAWARE LAW</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PLAN OF DISTRIBUTION</w:t>
            </w: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CONSIDERATIONS FOR NON-U.S. HOLDERS OF CLASS A SHARES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ERISA CONSIDERATIONS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EXPERTS</w:t>
            </w:r>
          </w:p>
        </w:tc>
        <w:tc>
          <w:tcPr>
            <w:tcW w:w="19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22"/>
          <w:szCs w:val="22"/>
          <w:b w:val="1"/>
          <w:bCs w:val="1"/>
          <w:color w:val="auto"/>
        </w:rPr>
        <w:t>ABOUT THIS PROSPECTUS</w:t>
      </w:r>
    </w:p>
    <w:p>
      <w:pPr>
        <w:spacing w:after="0" w:line="240"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This prospectus is part of a registration statement on Form S-3 that we filed with the Securities and Exchange Commission (the “SEC”) using a “shelf” registration process. Under this process, we may sell from time to time any combination of the securities described in this prospectus up to an aggregate public offering price of $250,000,000. In addition, certain of our security holders may sell up to 145,050,664 Class A shares from time to time in one or more offerings. This prospectus only provides you with a general description of the securities that we and the selling securityholders may offer. Each time we or any securityholders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89" w:lineRule="exact"/>
        <w:rPr>
          <w:sz w:val="20"/>
          <w:szCs w:val="20"/>
          <w:color w:val="auto"/>
        </w:rPr>
      </w:pPr>
    </w:p>
    <w:p>
      <w:pPr>
        <w:ind w:right="320" w:firstLine="324"/>
        <w:spacing w:after="0" w:line="279" w:lineRule="auto"/>
        <w:rPr>
          <w:sz w:val="20"/>
          <w:szCs w:val="20"/>
          <w:color w:val="auto"/>
        </w:rPr>
      </w:pPr>
      <w:r>
        <w:rPr>
          <w:rFonts w:ascii="Arial" w:cs="Arial" w:eastAsia="Arial" w:hAnsi="Arial"/>
          <w:sz w:val="19"/>
          <w:szCs w:val="19"/>
          <w:color w:val="auto"/>
        </w:rPr>
        <w:t>Neither we nor the selling securityholders have authorized anyone to provide you with any information other than that contained in or incorporated by reference into this prospectus, any accompanying prospectus supplement and any free writing prospectus prepared by or on behalf of us. Neither we nor the selling securityholders take responsibility for, and can provide no assurance as to the reliability of, any other information that others may give you. Neither we nor the selling securityholders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78" w:lineRule="exact"/>
        <w:rPr>
          <w:sz w:val="20"/>
          <w:szCs w:val="20"/>
          <w:color w:val="auto"/>
        </w:rPr>
      </w:pPr>
    </w:p>
    <w:p>
      <w:pPr>
        <w:ind w:right="400" w:firstLine="324"/>
        <w:spacing w:after="0" w:line="251" w:lineRule="auto"/>
        <w:rPr>
          <w:sz w:val="20"/>
          <w:szCs w:val="20"/>
          <w:color w:val="auto"/>
        </w:rPr>
      </w:pPr>
      <w:r>
        <w:rPr>
          <w:rFonts w:ascii="Arial" w:cs="Arial" w:eastAsia="Arial" w:hAnsi="Arial"/>
          <w:sz w:val="22"/>
          <w:szCs w:val="22"/>
          <w:color w:val="auto"/>
        </w:rPr>
        <w:t>The information in this prospectus is accurate as of the date on the front cover. You should not assume that the information contained in this prospectus is accurate as of any other date.</w:t>
      </w:r>
    </w:p>
    <w:p>
      <w:pPr>
        <w:spacing w:after="0" w:line="200" w:lineRule="exact"/>
        <w:rPr>
          <w:sz w:val="20"/>
          <w:szCs w:val="20"/>
          <w:color w:val="auto"/>
        </w:rPr>
      </w:pPr>
    </w:p>
    <w:p>
      <w:pPr>
        <w:ind w:right="160" w:firstLine="324"/>
        <w:spacing w:after="0" w:line="251" w:lineRule="auto"/>
        <w:rPr>
          <w:sz w:val="20"/>
          <w:szCs w:val="20"/>
          <w:color w:val="auto"/>
        </w:rPr>
      </w:pPr>
      <w:r>
        <w:rPr>
          <w:rFonts w:ascii="Arial" w:cs="Arial" w:eastAsia="Arial" w:hAnsi="Arial"/>
          <w:sz w:val="22"/>
          <w:szCs w:val="22"/>
          <w:color w:val="auto"/>
        </w:rPr>
        <w:t>When used in this prospectus, the terms “NFE,” “we,” “our” and “us” refer to New Fortress Energy LLC and its consolidated subsidiaries, unless otherwise specified or the context otherwise requires.</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40" w:lineRule="exact"/>
        <w:rPr>
          <w:sz w:val="20"/>
          <w:szCs w:val="20"/>
          <w:color w:val="auto"/>
        </w:rPr>
      </w:pPr>
    </w:p>
    <w:p>
      <w:pPr>
        <w:ind w:right="580" w:firstLine="324"/>
        <w:spacing w:after="0"/>
        <w:rPr>
          <w:sz w:val="20"/>
          <w:szCs w:val="20"/>
          <w:color w:val="auto"/>
        </w:rPr>
      </w:pPr>
      <w:r>
        <w:rPr>
          <w:rFonts w:ascii="Arial" w:cs="Arial" w:eastAsia="Arial" w:hAnsi="Arial"/>
          <w:sz w:val="22"/>
          <w:szCs w:val="22"/>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213"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19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w:t>
      </w:r>
      <w:hyperlink r:id="rId28">
        <w:r>
          <w:rPr>
            <w:rFonts w:ascii="Arial" w:cs="Arial" w:eastAsia="Arial" w:hAnsi="Arial"/>
            <w:sz w:val="18"/>
            <w:szCs w:val="18"/>
            <w:u w:val="single" w:color="auto"/>
            <w:color w:val="0000EE"/>
          </w:rPr>
          <w:t>December 31, 2019</w:t>
        </w:r>
      </w:hyperlink>
      <w:r>
        <w:rPr>
          <w:rFonts w:ascii="Arial" w:cs="Arial" w:eastAsia="Arial" w:hAnsi="Arial"/>
          <w:sz w:val="18"/>
          <w:szCs w:val="18"/>
          <w:color w:val="auto"/>
        </w:rPr>
        <w:t>, filed with the SEC on March 4, 2020;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9">
        <w:r>
          <w:rPr>
            <w:rFonts w:ascii="Arial" w:cs="Arial" w:eastAsia="Arial" w:hAnsi="Arial"/>
            <w:sz w:val="18"/>
            <w:szCs w:val="18"/>
            <w:u w:val="single" w:color="auto"/>
            <w:color w:val="0000EE"/>
          </w:rPr>
          <w:t>January 13,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0">
        <w:r>
          <w:rPr>
            <w:rFonts w:ascii="Arial" w:cs="Arial" w:eastAsia="Arial" w:hAnsi="Arial"/>
            <w:sz w:val="18"/>
            <w:szCs w:val="18"/>
            <w:u w:val="single" w:color="auto"/>
            <w:color w:val="0000EE"/>
          </w:rPr>
          <w:t>January 16, 2020</w:t>
        </w:r>
      </w:hyperlink>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Class A shares set forth in Exhibit 4.1 to our Annual Report on Form 10-K for the fiscal year ended December 31, 2019, filed with the SEC on </w:t>
      </w:r>
      <w:hyperlink r:id="rId31">
        <w:r>
          <w:rPr>
            <w:rFonts w:ascii="Arial" w:cs="Arial" w:eastAsia="Arial" w:hAnsi="Arial"/>
            <w:sz w:val="17"/>
            <w:szCs w:val="17"/>
            <w:u w:val="single" w:color="auto"/>
            <w:color w:val="0000EE"/>
          </w:rPr>
          <w:t>March 4, 2020</w:t>
        </w:r>
      </w:hyperlink>
      <w:r>
        <w:rPr>
          <w:rFonts w:ascii="Arial" w:cs="Arial" w:eastAsia="Arial" w:hAnsi="Arial"/>
          <w:sz w:val="17"/>
          <w:szCs w:val="17"/>
          <w:color w:val="auto"/>
        </w:rPr>
        <w:t>, and any amendment or report filed thereafter for the purpose of updating such information.</w:t>
      </w:r>
    </w:p>
    <w:p>
      <w:pPr>
        <w:spacing w:after="0" w:line="166" w:lineRule="exact"/>
        <w:rPr>
          <w:rFonts w:ascii="Arial" w:cs="Arial" w:eastAsia="Arial" w:hAnsi="Arial"/>
          <w:sz w:val="18"/>
          <w:szCs w:val="18"/>
          <w:color w:val="auto"/>
        </w:rPr>
      </w:pPr>
    </w:p>
    <w:p>
      <w:pPr>
        <w:ind w:right="140" w:firstLine="324"/>
        <w:spacing w:after="0" w:line="249" w:lineRule="auto"/>
        <w:rPr>
          <w:sz w:val="20"/>
          <w:szCs w:val="20"/>
          <w:color w:val="auto"/>
        </w:rPr>
      </w:pPr>
      <w:r>
        <w:rPr>
          <w:rFonts w:ascii="Arial" w:cs="Arial" w:eastAsia="Arial" w:hAnsi="Arial"/>
          <w:sz w:val="21"/>
          <w:szCs w:val="21"/>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206" w:lineRule="exact"/>
        <w:rPr>
          <w:rFonts w:ascii="Arial" w:cs="Arial" w:eastAsia="Arial" w:hAnsi="Arial"/>
          <w:sz w:val="18"/>
          <w:szCs w:val="18"/>
          <w:color w:val="auto"/>
        </w:rPr>
      </w:pPr>
    </w:p>
    <w:p>
      <w:pPr>
        <w:ind w:firstLine="324"/>
        <w:spacing w:after="0" w:line="287" w:lineRule="auto"/>
        <w:rPr>
          <w:sz w:val="20"/>
          <w:szCs w:val="20"/>
          <w:color w:val="auto"/>
        </w:rPr>
      </w:pPr>
      <w:r>
        <w:rPr>
          <w:rFonts w:ascii="Arial" w:cs="Arial" w:eastAsia="Arial" w:hAnsi="Arial"/>
          <w:sz w:val="19"/>
          <w:szCs w:val="19"/>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New Fortress Energy LLC</w:t>
      </w:r>
    </w:p>
    <w:p>
      <w:pPr>
        <w:jc w:val="center"/>
        <w:ind w:right="-19"/>
        <w:spacing w:after="0" w:line="238" w:lineRule="auto"/>
        <w:rPr>
          <w:sz w:val="20"/>
          <w:szCs w:val="20"/>
          <w:color w:val="auto"/>
        </w:rPr>
      </w:pPr>
      <w:r>
        <w:rPr>
          <w:rFonts w:ascii="Arial" w:cs="Arial" w:eastAsia="Arial" w:hAnsi="Arial"/>
          <w:sz w:val="22"/>
          <w:szCs w:val="22"/>
          <w:color w:val="auto"/>
        </w:rPr>
        <w:t>Investor Relations</w:t>
      </w:r>
    </w:p>
    <w:p>
      <w:pPr>
        <w:jc w:val="center"/>
        <w:ind w:right="-19"/>
        <w:spacing w:after="0" w:line="230" w:lineRule="auto"/>
        <w:rPr>
          <w:sz w:val="20"/>
          <w:szCs w:val="20"/>
          <w:color w:val="auto"/>
        </w:rPr>
      </w:pPr>
      <w:r>
        <w:rPr>
          <w:rFonts w:ascii="Arial" w:cs="Arial" w:eastAsia="Arial" w:hAnsi="Arial"/>
          <w:sz w:val="22"/>
          <w:szCs w:val="22"/>
          <w:color w:val="auto"/>
        </w:rPr>
        <w:t>111 W. 19th Street, 8th Floor</w:t>
      </w:r>
    </w:p>
    <w:p>
      <w:pPr>
        <w:jc w:val="center"/>
        <w:ind w:right="-19"/>
        <w:spacing w:after="0" w:line="231" w:lineRule="auto"/>
        <w:rPr>
          <w:sz w:val="20"/>
          <w:szCs w:val="20"/>
          <w:color w:val="auto"/>
        </w:rPr>
      </w:pPr>
      <w:r>
        <w:rPr>
          <w:rFonts w:ascii="Arial" w:cs="Arial" w:eastAsia="Arial" w:hAnsi="Arial"/>
          <w:sz w:val="22"/>
          <w:szCs w:val="22"/>
          <w:color w:val="auto"/>
        </w:rPr>
        <w:t>New York, NY 10011</w:t>
      </w:r>
    </w:p>
    <w:p>
      <w:pPr>
        <w:spacing w:after="0" w:line="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(516) 268-7400</w:t>
      </w:r>
    </w:p>
    <w:p>
      <w:pPr>
        <w:spacing w:after="0" w:line="39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ind w:right="900" w:firstLine="324"/>
        <w:spacing w:after="0" w:line="328" w:lineRule="auto"/>
        <w:rPr>
          <w:sz w:val="20"/>
          <w:szCs w:val="20"/>
          <w:color w:val="auto"/>
        </w:rPr>
      </w:pPr>
      <w:r>
        <w:rPr>
          <w:rFonts w:ascii="Arial" w:cs="Arial" w:eastAsia="Arial" w:hAnsi="Arial"/>
          <w:sz w:val="19"/>
          <w:szCs w:val="19"/>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13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factors, factors that could cause actual results to differ materially from those estimated by us include:</w:t>
      </w:r>
    </w:p>
    <w:p>
      <w:pPr>
        <w:spacing w:after="0" w:line="200" w:lineRule="exact"/>
        <w:rPr>
          <w:sz w:val="20"/>
          <w:szCs w:val="20"/>
          <w:color w:val="auto"/>
        </w:rPr>
      </w:pPr>
    </w:p>
    <w:p>
      <w:pPr>
        <w:spacing w:after="0" w:line="23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197"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and the terms of our construction contracts for the completion of these assets;</w:t>
      </w:r>
    </w:p>
    <w:p>
      <w:pPr>
        <w:spacing w:after="0" w:line="197"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operational, regulatory, environmental, political, legal and economic risks pertaining to the construction and operation of our facilities;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7" w:name="page8"/>
    <w:bookmarkEnd w:id="7"/>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Jamaica and the Caribbean.</w:t>
      </w:r>
    </w:p>
    <w:p>
      <w:pPr>
        <w:spacing w:after="0" w:line="245" w:lineRule="exact"/>
        <w:rPr>
          <w:sz w:val="20"/>
          <w:szCs w:val="20"/>
          <w:color w:val="auto"/>
        </w:rPr>
      </w:pPr>
    </w:p>
    <w:p>
      <w:pPr>
        <w:ind w:firstLine="324"/>
        <w:spacing w:after="0" w:line="247" w:lineRule="auto"/>
        <w:rPr>
          <w:sz w:val="20"/>
          <w:szCs w:val="20"/>
          <w:color w:val="auto"/>
        </w:rPr>
      </w:pPr>
      <w:r>
        <w:rPr>
          <w:rFonts w:ascii="Arial" w:cs="Arial" w:eastAsia="Arial" w:hAnsi="Arial"/>
          <w:sz w:val="21"/>
          <w:szCs w:val="21"/>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2"/>
          <w:szCs w:val="22"/>
          <w:b w:val="1"/>
          <w:bCs w:val="1"/>
          <w:color w:val="auto"/>
        </w:rPr>
        <w:t>THE COMPANY</w:t>
      </w:r>
    </w:p>
    <w:p>
      <w:pPr>
        <w:spacing w:after="0" w:line="240" w:lineRule="exact"/>
        <w:rPr>
          <w:sz w:val="20"/>
          <w:szCs w:val="20"/>
          <w:color w:val="auto"/>
        </w:rPr>
      </w:pPr>
    </w:p>
    <w:p>
      <w:pPr>
        <w:ind w:right="80" w:firstLine="324"/>
        <w:spacing w:after="0" w:line="282" w:lineRule="auto"/>
        <w:rPr>
          <w:sz w:val="20"/>
          <w:szCs w:val="20"/>
          <w:color w:val="auto"/>
        </w:rPr>
      </w:pPr>
      <w:r>
        <w:rPr>
          <w:rFonts w:ascii="Arial" w:cs="Arial" w:eastAsia="Arial" w:hAnsi="Arial"/>
          <w:sz w:val="19"/>
          <w:szCs w:val="19"/>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deliver targeted energy solutions by employing a four-part integrated LNG production and delivery model:</w:t>
      </w:r>
    </w:p>
    <w:p>
      <w:pPr>
        <w:spacing w:after="0" w:line="233" w:lineRule="exact"/>
        <w:rPr>
          <w:sz w:val="20"/>
          <w:szCs w:val="20"/>
          <w:color w:val="auto"/>
        </w:rPr>
      </w:pPr>
    </w:p>
    <w:p>
      <w:pPr>
        <w:jc w:val="both"/>
        <w:ind w:right="80" w:firstLine="324"/>
        <w:spacing w:after="0" w:line="238" w:lineRule="auto"/>
        <w:rPr>
          <w:sz w:val="20"/>
          <w:szCs w:val="20"/>
          <w:color w:val="auto"/>
        </w:rPr>
      </w:pPr>
      <w:r>
        <w:rPr>
          <w:rFonts w:ascii="Arial" w:cs="Arial" w:eastAsia="Arial" w:hAnsi="Arial"/>
          <w:sz w:val="22"/>
          <w:szCs w:val="22"/>
          <w:i w:val="1"/>
          <w:iCs w:val="1"/>
          <w:color w:val="auto"/>
        </w:rPr>
        <w:t xml:space="preserve">LNG Supply and Liquefaction </w:t>
      </w:r>
      <w:r>
        <w:rPr>
          <w:rFonts w:ascii="Arial" w:cs="Arial" w:eastAsia="Arial" w:hAnsi="Arial"/>
          <w:sz w:val="22"/>
          <w:szCs w:val="22"/>
          <w:color w:val="auto"/>
        </w:rPr>
        <w:t>– We supply LNG to our customers by entering into long-term, largely fixed-price LNG supply</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contracts. We have successfully capitalized on current market conditions to secure long-term LNG contracts with attractive terms. In addition, we supply LNG to our customers from liquefaction facilities, including our existing liquefaction and storage facility in Miami, Florida (the “Miami Facility”).</w:t>
      </w:r>
    </w:p>
    <w:p>
      <w:pPr>
        <w:spacing w:after="0" w:line="212" w:lineRule="exact"/>
        <w:rPr>
          <w:sz w:val="20"/>
          <w:szCs w:val="20"/>
          <w:color w:val="auto"/>
        </w:rPr>
      </w:pPr>
    </w:p>
    <w:p>
      <w:pPr>
        <w:ind w:right="120" w:firstLine="324"/>
        <w:spacing w:after="0"/>
        <w:rPr>
          <w:sz w:val="20"/>
          <w:szCs w:val="20"/>
          <w:color w:val="auto"/>
        </w:rPr>
      </w:pPr>
      <w:r>
        <w:rPr>
          <w:rFonts w:ascii="Arial" w:cs="Arial" w:eastAsia="Arial" w:hAnsi="Arial"/>
          <w:sz w:val="22"/>
          <w:szCs w:val="22"/>
          <w:i w:val="1"/>
          <w:iCs w:val="1"/>
          <w:color w:val="auto"/>
        </w:rPr>
        <w:t xml:space="preserve">Shipping </w:t>
      </w:r>
      <w:r>
        <w:rPr>
          <w:rFonts w:ascii="Arial" w:cs="Arial" w:eastAsia="Arial" w:hAnsi="Arial"/>
          <w:sz w:val="22"/>
          <w:szCs w:val="22"/>
          <w:color w:val="auto"/>
        </w:rPr>
        <w:t>– We have long-term charters for liquefied natural gas carriers (“LNGCs”) and floating storage and regasification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units (“FSRUs”). These assets transport LNG from ports to our downstream terminals and gasify LNG for ultimate delivery to our customers.</w:t>
      </w:r>
    </w:p>
    <w:p>
      <w:pPr>
        <w:spacing w:after="0" w:line="213" w:lineRule="exact"/>
        <w:rPr>
          <w:sz w:val="20"/>
          <w:szCs w:val="20"/>
          <w:color w:val="auto"/>
        </w:rPr>
      </w:pPr>
    </w:p>
    <w:p>
      <w:pPr>
        <w:ind w:right="220" w:firstLine="324"/>
        <w:spacing w:after="0" w:line="274" w:lineRule="auto"/>
        <w:rPr>
          <w:sz w:val="20"/>
          <w:szCs w:val="20"/>
          <w:color w:val="auto"/>
        </w:rPr>
      </w:pPr>
      <w:r>
        <w:rPr>
          <w:rFonts w:ascii="Arial" w:cs="Arial" w:eastAsia="Arial" w:hAnsi="Arial"/>
          <w:sz w:val="21"/>
          <w:szCs w:val="21"/>
          <w:i w:val="1"/>
          <w:iCs w:val="1"/>
          <w:color w:val="auto"/>
        </w:rPr>
        <w:t xml:space="preserve">Logistics </w:t>
      </w:r>
      <w:r>
        <w:rPr>
          <w:rFonts w:ascii="Arial" w:cs="Arial" w:eastAsia="Arial" w:hAnsi="Arial"/>
          <w:sz w:val="21"/>
          <w:szCs w:val="21"/>
          <w:color w:val="auto"/>
        </w:rPr>
        <w:t>– We own or control the logistics assets necessary to deliver LNG to our customers through our “logistics pipeline”,</w:t>
      </w:r>
      <w:r>
        <w:rPr>
          <w:rFonts w:ascii="Arial" w:cs="Arial" w:eastAsia="Arial" w:hAnsi="Arial"/>
          <w:sz w:val="21"/>
          <w:szCs w:val="21"/>
          <w:i w:val="1"/>
          <w:iCs w:val="1"/>
          <w:color w:val="auto"/>
        </w:rPr>
        <w:t xml:space="preserve"> </w:t>
      </w:r>
      <w:r>
        <w:rPr>
          <w:rFonts w:ascii="Arial" w:cs="Arial" w:eastAsia="Arial" w:hAnsi="Arial"/>
          <w:sz w:val="21"/>
          <w:szCs w:val="21"/>
          <w:color w:val="auto"/>
        </w:rPr>
        <w:t>which enables us to transport LNG from our downstream terminals and facilities to our customers.</w:t>
      </w:r>
    </w:p>
    <w:p>
      <w:pPr>
        <w:spacing w:after="0" w:line="178" w:lineRule="exact"/>
        <w:rPr>
          <w:sz w:val="20"/>
          <w:szCs w:val="20"/>
          <w:color w:val="auto"/>
        </w:rPr>
      </w:pPr>
    </w:p>
    <w:p>
      <w:pPr>
        <w:ind w:right="40" w:firstLine="324"/>
        <w:spacing w:after="0" w:line="258" w:lineRule="auto"/>
        <w:rPr>
          <w:sz w:val="20"/>
          <w:szCs w:val="20"/>
          <w:color w:val="auto"/>
        </w:rPr>
      </w:pPr>
      <w:r>
        <w:rPr>
          <w:rFonts w:ascii="Arial" w:cs="Arial" w:eastAsia="Arial" w:hAnsi="Arial"/>
          <w:sz w:val="21"/>
          <w:szCs w:val="21"/>
          <w:i w:val="1"/>
          <w:iCs w:val="1"/>
          <w:color w:val="auto"/>
        </w:rPr>
        <w:t xml:space="preserve">Terminals </w:t>
      </w:r>
      <w:r>
        <w:rPr>
          <w:rFonts w:ascii="Arial" w:cs="Arial" w:eastAsia="Arial" w:hAnsi="Arial"/>
          <w:sz w:val="21"/>
          <w:szCs w:val="21"/>
          <w:color w:val="auto"/>
        </w:rPr>
        <w:t>– Through our network of current and planned downstream terminals and facilities, we are strategically positioned to</w:t>
      </w:r>
      <w:r>
        <w:rPr>
          <w:rFonts w:ascii="Arial" w:cs="Arial" w:eastAsia="Arial" w:hAnsi="Arial"/>
          <w:sz w:val="21"/>
          <w:szCs w:val="21"/>
          <w:i w:val="1"/>
          <w:iCs w:val="1"/>
          <w:color w:val="auto"/>
        </w:rPr>
        <w:t xml:space="preserve"> </w:t>
      </w:r>
      <w:r>
        <w:rPr>
          <w:rFonts w:ascii="Arial" w:cs="Arial" w:eastAsia="Arial" w:hAnsi="Arial"/>
          <w:sz w:val="21"/>
          <w:szCs w:val="21"/>
          <w:color w:val="auto"/>
        </w:rPr>
        <w:t>deliver gas and power solutions to our customers seeking either to transition from environmentally dirtier distillate fuels such as ADO and heavy fuel oil (“HFO”) or to purchase natural gas to meet their current fuel needs.</w:t>
      </w:r>
    </w:p>
    <w:p>
      <w:pPr>
        <w:spacing w:after="0" w:line="194"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NFE was formed as a Delaware limited liability company by New Fortress Energy Holdings LLC (“NFEH”) on August 6, 2018. NFE is a holding company whose only material asset consists of its indirect membership interests in New Fortress Intermediate Holdings LLC (“NFI”), which owns all of the outstanding membership interests in NFE Atlantic Holdings LLC. NFE is the sole managing member of NFI, is responsible for all operational, management and administrative decisions relating to NFI’s business and consolidates financial results of NFI and its subsidiaries.</w:t>
      </w:r>
    </w:p>
    <w:p>
      <w:pPr>
        <w:spacing w:after="0" w:line="215" w:lineRule="exact"/>
        <w:rPr>
          <w:sz w:val="20"/>
          <w:szCs w:val="20"/>
          <w:color w:val="auto"/>
        </w:rPr>
      </w:pPr>
    </w:p>
    <w:p>
      <w:pPr>
        <w:ind w:right="140" w:firstLine="324"/>
        <w:spacing w:after="0" w:line="252" w:lineRule="auto"/>
        <w:rPr>
          <w:sz w:val="20"/>
          <w:szCs w:val="20"/>
          <w:color w:val="auto"/>
        </w:rPr>
      </w:pPr>
      <w:r>
        <w:rPr>
          <w:rFonts w:ascii="Arial" w:cs="Arial" w:eastAsia="Arial" w:hAnsi="Arial"/>
          <w:sz w:val="21"/>
          <w:szCs w:val="21"/>
          <w:color w:val="auto"/>
        </w:rPr>
        <w:t>Our first amended and restated limited liability company agreement (the “operating agreement”) provides for two classes of shares, Class A shares and Class B shares, representing limited liability company interests in us (the “Class B shares”). Only the holders of our Class A shares are entitled to participate in any dividends our board of directors may declare. Each Class A share is also entitled to one vote on the limited matters to be voted on by our shareholders.</w:t>
      </w:r>
    </w:p>
    <w:p>
      <w:pPr>
        <w:spacing w:after="0" w:line="201"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Class B shares are not entitled to receive dividends but are entitled to vote on the same basis as the Class A shares. Holders of Class A shares and Class B shares vote together as a single class on all matters presented to our shareholders for their vote or approval, except as otherwise required by applicable law. We do not intend to list the Class B shares on any stock exchange. All of our Class B shares are owned by NFEH.</w:t>
      </w:r>
    </w:p>
    <w:p>
      <w:pPr>
        <w:spacing w:after="0" w:line="212" w:lineRule="exact"/>
        <w:rPr>
          <w:sz w:val="20"/>
          <w:szCs w:val="20"/>
          <w:color w:val="auto"/>
        </w:rPr>
      </w:pPr>
    </w:p>
    <w:p>
      <w:pPr>
        <w:ind w:right="220" w:firstLine="324"/>
        <w:spacing w:after="0" w:line="248" w:lineRule="auto"/>
        <w:rPr>
          <w:sz w:val="20"/>
          <w:szCs w:val="20"/>
          <w:color w:val="auto"/>
        </w:rPr>
      </w:pPr>
      <w:r>
        <w:rPr>
          <w:rFonts w:ascii="Arial" w:cs="Arial" w:eastAsia="Arial" w:hAnsi="Arial"/>
          <w:sz w:val="21"/>
          <w:szCs w:val="21"/>
          <w:color w:val="auto"/>
        </w:rPr>
        <w:t>Our organizational structure allows NFEH to retain a direct equity ownership in NFI, which is classified as a partnership for U.S. federal income tax purposes. Although we were formed as a limited liability company, we have elected to be taxed as a corporation for U.S. federal income tax purposes. Pursuant to our operating agreement and the NFI limited liability company agreement (the “NFI LLC Agreement”), our capital structure and the capital structure of NFI generally replicate one another and provide for customary antidilution mechanisms in order to maintain the one-for-one exchange ratio between the common units of NFI (“NFI LLC Units”) and our Class A shares.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Our principal executive office is located at 111 W. 19th Street, 8th Floor, New York, NY 10011 and our telephone number is</w:t>
      </w:r>
    </w:p>
    <w:p>
      <w:pPr>
        <w:spacing w:after="0" w:line="43" w:lineRule="exact"/>
        <w:rPr>
          <w:sz w:val="20"/>
          <w:szCs w:val="20"/>
          <w:color w:val="auto"/>
        </w:rPr>
      </w:pPr>
    </w:p>
    <w:p>
      <w:pPr>
        <w:ind w:firstLine="8"/>
        <w:spacing w:after="0" w:line="234" w:lineRule="auto"/>
        <w:tabs>
          <w:tab w:leader="none" w:pos="522" w:val="left"/>
        </w:tabs>
        <w:numPr>
          <w:ilvl w:val="0"/>
          <w:numId w:val="5"/>
        </w:numPr>
        <w:rPr>
          <w:rFonts w:ascii="Arial" w:cs="Arial" w:eastAsia="Arial" w:hAnsi="Arial"/>
          <w:sz w:val="22"/>
          <w:szCs w:val="22"/>
          <w:color w:val="auto"/>
        </w:rPr>
      </w:pPr>
      <w:r>
        <w:rPr>
          <w:rFonts w:ascii="Arial" w:cs="Arial" w:eastAsia="Arial" w:hAnsi="Arial"/>
          <w:sz w:val="22"/>
          <w:szCs w:val="22"/>
          <w:color w:val="auto"/>
        </w:rPr>
        <w:t>268-7400. We maintain a website at www.newfortressenergy.com. The information on our website is not incorporated by reference in this prospectus or any accompanying prospectus supplement, and you should not consider it a part of this prospectus or any accompanying prospectus supplement.</w:t>
      </w:r>
    </w:p>
    <w:p>
      <w:pPr>
        <w:sectPr>
          <w:pgSz w:w="11900" w:h="16838" w:orient="portrait"/>
          <w:cols w:equalWidth="0" w:num="1">
            <w:col w:w="11400"/>
          </w:cols>
          <w:pgMar w:left="240" w:top="111" w:right="25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22"/>
          <w:szCs w:val="22"/>
          <w:b w:val="1"/>
          <w:bCs w:val="1"/>
          <w:color w:val="auto"/>
        </w:rPr>
        <w:t>RISK FACTORS</w:t>
      </w:r>
    </w:p>
    <w:p>
      <w:pPr>
        <w:spacing w:after="0" w:line="240"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10" w:name="page11"/>
    <w:bookmarkEnd w:id="10"/>
    <w:p>
      <w:pPr>
        <w:jc w:val="center"/>
        <w:ind w:right="-259"/>
        <w:spacing w:after="0"/>
        <w:rPr>
          <w:sz w:val="20"/>
          <w:szCs w:val="20"/>
          <w:color w:val="auto"/>
        </w:rPr>
      </w:pPr>
      <w:r>
        <w:rPr>
          <w:rFonts w:ascii="Arial" w:cs="Arial" w:eastAsia="Arial" w:hAnsi="Arial"/>
          <w:sz w:val="22"/>
          <w:szCs w:val="22"/>
          <w:b w:val="1"/>
          <w:bCs w:val="1"/>
          <w:color w:val="auto"/>
        </w:rPr>
        <w:t>USE OF PROCEEDS</w:t>
      </w:r>
    </w:p>
    <w:p>
      <w:pPr>
        <w:spacing w:after="0" w:line="24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213" w:lineRule="exact"/>
        <w:rPr>
          <w:sz w:val="20"/>
          <w:szCs w:val="20"/>
          <w:color w:val="auto"/>
        </w:rPr>
      </w:pPr>
    </w:p>
    <w:p>
      <w:pPr>
        <w:ind w:right="100" w:firstLine="324"/>
        <w:spacing w:after="0" w:line="251" w:lineRule="auto"/>
        <w:rPr>
          <w:sz w:val="20"/>
          <w:szCs w:val="20"/>
          <w:color w:val="auto"/>
        </w:rPr>
      </w:pPr>
      <w:r>
        <w:rPr>
          <w:rFonts w:ascii="Arial" w:cs="Arial" w:eastAsia="Arial" w:hAnsi="Arial"/>
          <w:sz w:val="22"/>
          <w:szCs w:val="22"/>
          <w:color w:val="auto"/>
        </w:rPr>
        <w:t>Unless set forth in an accompanying prospectus supplement, we will not receive any proceeds in the event that securities are sold by a selling securityholder.</w:t>
      </w: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112" w:right="47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22"/>
          <w:szCs w:val="22"/>
          <w:b w:val="1"/>
          <w:bCs w:val="1"/>
          <w:color w:val="auto"/>
        </w:rPr>
        <w:t>DESCRIPTION OF SECURITIES</w:t>
      </w:r>
    </w:p>
    <w:p>
      <w:pPr>
        <w:spacing w:after="0" w:line="240"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This prospectus contains summary descriptions of the Class A shares, preferred shares,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1"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22"/>
          <w:szCs w:val="22"/>
          <w:b w:val="1"/>
          <w:bCs w:val="1"/>
          <w:color w:val="auto"/>
        </w:rPr>
        <w:t>DESCRIPTION OF SHARES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The following description of shares of New Fortress Energy LLC (the “Company,” “NFE,” “our” or “we”) is based upon the provisions of the Delaware Limited Liability Company Act (the “Delaware LLC Act”), our amended and restated certificate of formation, as amended, and the Company’s First Amended and Restated Limited Liability Company Agreement (our “operating agreement”). The summary is not complete and is subject to, and is qualified in its entirety by express reference to, the provisions of applicable law and to the operating agreement. The terms of our operating agreement are incorporated by reference as an exhibit to the registration statement of which this prospectus is a part. See “Where You Can Find More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Shares</w:t>
      </w:r>
    </w:p>
    <w:p>
      <w:pPr>
        <w:spacing w:after="0" w:line="239" w:lineRule="exact"/>
        <w:rPr>
          <w:sz w:val="20"/>
          <w:szCs w:val="20"/>
          <w:color w:val="auto"/>
        </w:rPr>
      </w:pPr>
    </w:p>
    <w:p>
      <w:pPr>
        <w:ind w:right="140" w:firstLine="324"/>
        <w:spacing w:after="0" w:line="282" w:lineRule="auto"/>
        <w:rPr>
          <w:sz w:val="20"/>
          <w:szCs w:val="20"/>
          <w:color w:val="auto"/>
        </w:rPr>
      </w:pPr>
      <w:r>
        <w:rPr>
          <w:rFonts w:ascii="Arial" w:cs="Arial" w:eastAsia="Arial" w:hAnsi="Arial"/>
          <w:sz w:val="19"/>
          <w:szCs w:val="19"/>
          <w:color w:val="auto"/>
        </w:rPr>
        <w:t>Under our operating agreement, we are authorized to issue an unlimited number of shares representing limited liability company interests of the Company. As of the date hereof, two classes of shares have been designated: Class A Shares and Class B Shares. Our Class A Shares are registered pursuant to Section 12 of the Securities Exchange Act of 1934, as amended (the “Exchange Act”), and are listed on the Nasdaq Global Select Market (“NASDAQ”) under the symbol “NFE.” Our Class B Shares are not registered pursuant to Section 12 of the Exchange Act nor listed on any securities exchange.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Shares</w:t>
      </w:r>
    </w:p>
    <w:p>
      <w:pPr>
        <w:spacing w:after="0" w:line="239" w:lineRule="exact"/>
        <w:rPr>
          <w:sz w:val="20"/>
          <w:szCs w:val="20"/>
          <w:color w:val="auto"/>
        </w:rPr>
      </w:pPr>
    </w:p>
    <w:p>
      <w:pPr>
        <w:ind w:right="120" w:firstLine="324"/>
        <w:spacing w:after="0" w:line="247" w:lineRule="auto"/>
        <w:rPr>
          <w:sz w:val="20"/>
          <w:szCs w:val="20"/>
          <w:color w:val="auto"/>
        </w:rPr>
      </w:pPr>
      <w:r>
        <w:rPr>
          <w:rFonts w:ascii="Arial" w:cs="Arial" w:eastAsia="Arial" w:hAnsi="Arial"/>
          <w:sz w:val="21"/>
          <w:szCs w:val="21"/>
          <w:i w:val="1"/>
          <w:iCs w:val="1"/>
          <w:color w:val="auto"/>
        </w:rPr>
        <w:t>Voting Rights</w:t>
      </w:r>
      <w:r>
        <w:rPr>
          <w:rFonts w:ascii="Arial" w:cs="Arial" w:eastAsia="Arial" w:hAnsi="Arial"/>
          <w:sz w:val="21"/>
          <w:szCs w:val="21"/>
          <w:color w:val="auto"/>
        </w:rPr>
        <w:t>. Each holder of our Class A shares or Class B shares is entitled to one vote for each share held on the limited</w:t>
      </w:r>
      <w:r>
        <w:rPr>
          <w:rFonts w:ascii="Arial" w:cs="Arial" w:eastAsia="Arial" w:hAnsi="Arial"/>
          <w:sz w:val="21"/>
          <w:szCs w:val="21"/>
          <w:i w:val="1"/>
          <w:iCs w:val="1"/>
          <w:color w:val="auto"/>
        </w:rPr>
        <w:t xml:space="preserve"> </w:t>
      </w:r>
      <w:r>
        <w:rPr>
          <w:rFonts w:ascii="Arial" w:cs="Arial" w:eastAsia="Arial" w:hAnsi="Arial"/>
          <w:sz w:val="21"/>
          <w:szCs w:val="21"/>
          <w:color w:val="auto"/>
        </w:rPr>
        <w:t>matters properly submitted to the shareholders for their vote. Holders of our Class A shares or Class B shares do not have cumulative voting rights. Holders of our Class A shares and Class B shares vote together as a single class on all matters presented to our shareholders for their vote or approval, except with respect to the amendment of certain provisions of our operating agreement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w:t>
      </w:r>
    </w:p>
    <w:p>
      <w:pPr>
        <w:spacing w:after="0" w:line="205" w:lineRule="exact"/>
        <w:rPr>
          <w:sz w:val="20"/>
          <w:szCs w:val="20"/>
          <w:color w:val="auto"/>
        </w:rPr>
      </w:pPr>
    </w:p>
    <w:p>
      <w:pPr>
        <w:ind w:right="260" w:firstLine="324"/>
        <w:spacing w:after="0" w:line="297" w:lineRule="auto"/>
        <w:rPr>
          <w:sz w:val="20"/>
          <w:szCs w:val="20"/>
          <w:color w:val="auto"/>
        </w:rPr>
      </w:pPr>
      <w:r>
        <w:rPr>
          <w:rFonts w:ascii="Arial" w:cs="Arial" w:eastAsia="Arial" w:hAnsi="Arial"/>
          <w:sz w:val="19"/>
          <w:szCs w:val="19"/>
          <w:i w:val="1"/>
          <w:iCs w:val="1"/>
          <w:color w:val="auto"/>
        </w:rPr>
        <w:t>Dividend Rights</w:t>
      </w:r>
      <w:r>
        <w:rPr>
          <w:rFonts w:ascii="Arial" w:cs="Arial" w:eastAsia="Arial" w:hAnsi="Arial"/>
          <w:sz w:val="19"/>
          <w:szCs w:val="19"/>
          <w:color w:val="auto"/>
        </w:rPr>
        <w:t>. Holders of our Class A shares are entitled to ratably receive dividends when and if declared by our board of</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out of funds legally available for that purpose, subject to any statutory or contractual restrictions on the payment of dividends and to any prior rights and preferences that may be applicable to any outstanding preferred shares.</w:t>
      </w:r>
    </w:p>
    <w:p>
      <w:pPr>
        <w:spacing w:after="0" w:line="161" w:lineRule="exact"/>
        <w:rPr>
          <w:sz w:val="20"/>
          <w:szCs w:val="20"/>
          <w:color w:val="auto"/>
        </w:rPr>
      </w:pPr>
    </w:p>
    <w:p>
      <w:pPr>
        <w:jc w:val="both"/>
        <w:ind w:right="100" w:firstLine="324"/>
        <w:spacing w:after="0"/>
        <w:rPr>
          <w:sz w:val="20"/>
          <w:szCs w:val="20"/>
          <w:color w:val="auto"/>
        </w:rPr>
      </w:pPr>
      <w:r>
        <w:rPr>
          <w:rFonts w:ascii="Arial" w:cs="Arial" w:eastAsia="Arial" w:hAnsi="Arial"/>
          <w:sz w:val="22"/>
          <w:szCs w:val="22"/>
          <w:i w:val="1"/>
          <w:iCs w:val="1"/>
          <w:color w:val="auto"/>
        </w:rPr>
        <w:t>Liquidation Rights</w:t>
      </w:r>
      <w:r>
        <w:rPr>
          <w:rFonts w:ascii="Arial" w:cs="Arial" w:eastAsia="Arial" w:hAnsi="Arial"/>
          <w:sz w:val="22"/>
          <w:szCs w:val="22"/>
          <w:color w:val="auto"/>
        </w:rPr>
        <w:t>. Upon our liquidation, dissolution, distribution of assets or other winding up, the holders of Class A shares</w:t>
      </w:r>
      <w:r>
        <w:rPr>
          <w:rFonts w:ascii="Arial" w:cs="Arial" w:eastAsia="Arial" w:hAnsi="Arial"/>
          <w:sz w:val="22"/>
          <w:szCs w:val="22"/>
          <w:i w:val="1"/>
          <w:iCs w:val="1"/>
          <w:color w:val="auto"/>
        </w:rPr>
        <w:t xml:space="preserve"> </w:t>
      </w:r>
      <w:r>
        <w:rPr>
          <w:rFonts w:ascii="Arial" w:cs="Arial" w:eastAsia="Arial" w:hAnsi="Arial"/>
          <w:sz w:val="22"/>
          <w:szCs w:val="22"/>
          <w:color w:val="auto"/>
        </w:rPr>
        <w:t>are entitled to receive ratably the assets available for distribution to the shareholders after payment of liabilities and the liquidation preference of any of our outstanding preferred shares.</w:t>
      </w:r>
    </w:p>
    <w:p>
      <w:pPr>
        <w:spacing w:after="0" w:line="213" w:lineRule="exact"/>
        <w:rPr>
          <w:sz w:val="20"/>
          <w:szCs w:val="20"/>
          <w:color w:val="auto"/>
        </w:rPr>
      </w:pPr>
    </w:p>
    <w:p>
      <w:pPr>
        <w:ind w:right="20" w:firstLine="324"/>
        <w:spacing w:after="0"/>
        <w:rPr>
          <w:sz w:val="20"/>
          <w:szCs w:val="20"/>
          <w:color w:val="auto"/>
        </w:rPr>
      </w:pPr>
      <w:r>
        <w:rPr>
          <w:rFonts w:ascii="Arial" w:cs="Arial" w:eastAsia="Arial" w:hAnsi="Arial"/>
          <w:sz w:val="22"/>
          <w:szCs w:val="22"/>
          <w:i w:val="1"/>
          <w:iCs w:val="1"/>
          <w:color w:val="auto"/>
        </w:rPr>
        <w:t>Other Matters</w:t>
      </w:r>
      <w:r>
        <w:rPr>
          <w:rFonts w:ascii="Arial" w:cs="Arial" w:eastAsia="Arial" w:hAnsi="Arial"/>
          <w:sz w:val="22"/>
          <w:szCs w:val="22"/>
          <w:color w:val="auto"/>
        </w:rPr>
        <w:t>. The Class A shares have no preemptive or conversion rights and are not subject to further calls or assessment by</w:t>
      </w:r>
      <w:r>
        <w:rPr>
          <w:rFonts w:ascii="Arial" w:cs="Arial" w:eastAsia="Arial" w:hAnsi="Arial"/>
          <w:sz w:val="22"/>
          <w:szCs w:val="22"/>
          <w:i w:val="1"/>
          <w:iCs w:val="1"/>
          <w:color w:val="auto"/>
        </w:rPr>
        <w:t xml:space="preserve"> </w:t>
      </w:r>
      <w:r>
        <w:rPr>
          <w:rFonts w:ascii="Arial" w:cs="Arial" w:eastAsia="Arial" w:hAnsi="Arial"/>
          <w:sz w:val="22"/>
          <w:szCs w:val="22"/>
          <w:color w:val="auto"/>
        </w:rPr>
        <w:t>us. There are no redemption or sinking fund provisions applicable to the Class A shares. All outstanding Class A shares are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B Shares</w:t>
      </w:r>
    </w:p>
    <w:p>
      <w:pPr>
        <w:spacing w:after="0" w:line="2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i w:val="1"/>
          <w:iCs w:val="1"/>
          <w:color w:val="auto"/>
        </w:rPr>
        <w:t>Generally</w:t>
      </w:r>
      <w:r>
        <w:rPr>
          <w:rFonts w:ascii="Arial" w:cs="Arial" w:eastAsia="Arial" w:hAnsi="Arial"/>
          <w:sz w:val="19"/>
          <w:szCs w:val="19"/>
          <w:color w:val="auto"/>
        </w:rPr>
        <w:t>. The New Fortress Intermediate LLC (“NFI”) unitholders hold one Class B share for each unit of NFI (the “NFI LLC</w:t>
      </w:r>
      <w:r>
        <w:rPr>
          <w:rFonts w:ascii="Arial" w:cs="Arial" w:eastAsia="Arial" w:hAnsi="Arial"/>
          <w:sz w:val="19"/>
          <w:szCs w:val="19"/>
          <w:i w:val="1"/>
          <w:iCs w:val="1"/>
          <w:color w:val="auto"/>
        </w:rPr>
        <w:t xml:space="preserve"> </w:t>
      </w:r>
      <w:r>
        <w:rPr>
          <w:rFonts w:ascii="Arial" w:cs="Arial" w:eastAsia="Arial" w:hAnsi="Arial"/>
          <w:sz w:val="19"/>
          <w:szCs w:val="19"/>
          <w:color w:val="auto"/>
        </w:rPr>
        <w:t>Unit”) that they hold. Accordingly, the NFI unitholders have a number of votes in NFE equal to the aggregate number of NFI LLC Units that they hold. Class B shares cannot be transferred without transferring an equal number of NFI LLC Units and vice versa.</w:t>
      </w:r>
    </w:p>
    <w:p>
      <w:pPr>
        <w:spacing w:after="0" w:line="161" w:lineRule="exact"/>
        <w:rPr>
          <w:sz w:val="20"/>
          <w:szCs w:val="20"/>
          <w:color w:val="auto"/>
        </w:rPr>
      </w:pPr>
    </w:p>
    <w:p>
      <w:pPr>
        <w:ind w:right="80" w:firstLine="324"/>
        <w:spacing w:after="0" w:line="247" w:lineRule="auto"/>
        <w:rPr>
          <w:sz w:val="20"/>
          <w:szCs w:val="20"/>
          <w:color w:val="auto"/>
        </w:rPr>
      </w:pPr>
      <w:r>
        <w:rPr>
          <w:rFonts w:ascii="Arial" w:cs="Arial" w:eastAsia="Arial" w:hAnsi="Arial"/>
          <w:sz w:val="21"/>
          <w:szCs w:val="21"/>
          <w:i w:val="1"/>
          <w:iCs w:val="1"/>
          <w:color w:val="auto"/>
        </w:rPr>
        <w:t>Voting Rights</w:t>
      </w:r>
      <w:r>
        <w:rPr>
          <w:rFonts w:ascii="Arial" w:cs="Arial" w:eastAsia="Arial" w:hAnsi="Arial"/>
          <w:sz w:val="21"/>
          <w:szCs w:val="21"/>
          <w:color w:val="auto"/>
        </w:rPr>
        <w:t>. Holders of our Class B shares are entitled to one vote per share held of record on all matters to be voted upon by</w:t>
      </w:r>
      <w:r>
        <w:rPr>
          <w:rFonts w:ascii="Arial" w:cs="Arial" w:eastAsia="Arial" w:hAnsi="Arial"/>
          <w:sz w:val="21"/>
          <w:szCs w:val="21"/>
          <w:i w:val="1"/>
          <w:iCs w:val="1"/>
          <w:color w:val="auto"/>
        </w:rPr>
        <w:t xml:space="preserve"> </w:t>
      </w:r>
      <w:r>
        <w:rPr>
          <w:rFonts w:ascii="Arial" w:cs="Arial" w:eastAsia="Arial" w:hAnsi="Arial"/>
          <w:sz w:val="21"/>
          <w:szCs w:val="21"/>
          <w:color w:val="auto"/>
        </w:rPr>
        <w:t>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ectPr>
          <w:pgSz w:w="11900" w:h="16838" w:orient="portrait"/>
          <w:cols w:equalWidth="0" w:num="1">
            <w:col w:w="11400"/>
          </w:cols>
          <w:pgMar w:left="240" w:top="112" w:right="25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3" w:name="page14"/>
    <w:bookmarkEnd w:id="13"/>
    <w:p>
      <w:pPr>
        <w:ind w:right="80" w:firstLine="324"/>
        <w:spacing w:after="0" w:line="248" w:lineRule="auto"/>
        <w:rPr>
          <w:sz w:val="20"/>
          <w:szCs w:val="20"/>
          <w:color w:val="auto"/>
        </w:rPr>
      </w:pPr>
      <w:r>
        <w:rPr>
          <w:rFonts w:ascii="Arial" w:cs="Arial" w:eastAsia="Arial" w:hAnsi="Arial"/>
          <w:sz w:val="21"/>
          <w:szCs w:val="21"/>
          <w:i w:val="1"/>
          <w:iCs w:val="1"/>
          <w:color w:val="auto"/>
        </w:rPr>
        <w:t>Dividend and Liquidation Rights</w:t>
      </w:r>
      <w:r>
        <w:rPr>
          <w:rFonts w:ascii="Arial" w:cs="Arial" w:eastAsia="Arial" w:hAnsi="Arial"/>
          <w:sz w:val="21"/>
          <w:szCs w:val="21"/>
          <w:color w:val="auto"/>
        </w:rPr>
        <w:t>. Holders of our Class B shares do not have any right to receive dividends, unless the dividend</w:t>
      </w:r>
      <w:r>
        <w:rPr>
          <w:rFonts w:ascii="Arial" w:cs="Arial" w:eastAsia="Arial" w:hAnsi="Arial"/>
          <w:sz w:val="21"/>
          <w:szCs w:val="21"/>
          <w:i w:val="1"/>
          <w:iCs w:val="1"/>
          <w:color w:val="auto"/>
        </w:rPr>
        <w:t xml:space="preserve"> </w:t>
      </w:r>
      <w:r>
        <w:rPr>
          <w:rFonts w:ascii="Arial" w:cs="Arial" w:eastAsia="Arial" w:hAnsi="Arial"/>
          <w:sz w:val="21"/>
          <w:szCs w:val="21"/>
          <w:color w:val="auto"/>
        </w:rPr>
        <w:t>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205"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9"/>
          <w:szCs w:val="19"/>
          <w:i w:val="1"/>
          <w:iCs w:val="1"/>
          <w:color w:val="auto"/>
        </w:rPr>
        <w:t xml:space="preserve">Redemption Right. </w:t>
      </w:r>
      <w:r>
        <w:rPr>
          <w:rFonts w:ascii="Arial" w:cs="Arial" w:eastAsia="Arial" w:hAnsi="Arial"/>
          <w:sz w:val="19"/>
          <w:szCs w:val="19"/>
          <w:color w:val="auto"/>
        </w:rPr>
        <w:t>Pursuant to the limited liability company agreement of NFI, each holder of NFI LLC Units has the right to</w:t>
      </w:r>
      <w:r>
        <w:rPr>
          <w:rFonts w:ascii="Arial" w:cs="Arial" w:eastAsia="Arial" w:hAnsi="Arial"/>
          <w:sz w:val="19"/>
          <w:szCs w:val="19"/>
          <w:i w:val="1"/>
          <w:iCs w:val="1"/>
          <w:color w:val="auto"/>
        </w:rPr>
        <w:t xml:space="preserve"> </w:t>
      </w:r>
      <w:r>
        <w:rPr>
          <w:rFonts w:ascii="Arial" w:cs="Arial" w:eastAsia="Arial" w:hAnsi="Arial"/>
          <w:sz w:val="19"/>
          <w:szCs w:val="19"/>
          <w:color w:val="auto"/>
        </w:rPr>
        <w:t>redeem his or her NFI LLC Units, together with an equal number of Class B Shares, for Class A Shares (or cash at the Company’s election, subject to customary conversion rate adjustments for stock splits, stock dividends and reclassifications).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Shares</w:t>
      </w:r>
    </w:p>
    <w:p>
      <w:pPr>
        <w:spacing w:after="0" w:line="239"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Duties</w:t>
      </w:r>
    </w:p>
    <w:p>
      <w:pPr>
        <w:spacing w:after="0" w:line="233" w:lineRule="exact"/>
        <w:rPr>
          <w:sz w:val="20"/>
          <w:szCs w:val="20"/>
          <w:color w:val="auto"/>
        </w:rPr>
      </w:pPr>
    </w:p>
    <w:p>
      <w:pPr>
        <w:ind w:right="60" w:firstLine="324"/>
        <w:spacing w:after="0" w:line="328" w:lineRule="auto"/>
        <w:rPr>
          <w:sz w:val="20"/>
          <w:szCs w:val="20"/>
          <w:color w:val="auto"/>
        </w:rPr>
      </w:pPr>
      <w:r>
        <w:rPr>
          <w:rFonts w:ascii="Arial" w:cs="Arial" w:eastAsia="Arial" w:hAnsi="Arial"/>
          <w:sz w:val="19"/>
          <w:szCs w:val="19"/>
          <w:color w:val="auto"/>
        </w:rPr>
        <w:t>American Stock Transfer &amp; Trust Company, LLC is the registrar and transfer agent for the Class A shares. We pay all fees charged by the transfer agent for transfers of Class A shares except the following, which must be paid by our Class A shareholders:</w:t>
      </w:r>
    </w:p>
    <w:p>
      <w:pPr>
        <w:spacing w:after="0" w:line="13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45"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Resignation or Removal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transfer agent may resign, by notice to us, or be removed by us.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Class A shares and Class B shares</w:t>
      </w:r>
    </w:p>
    <w:p>
      <w:pPr>
        <w:spacing w:after="0" w:line="239" w:lineRule="exact"/>
        <w:rPr>
          <w:sz w:val="20"/>
          <w:szCs w:val="20"/>
          <w:color w:val="auto"/>
        </w:rPr>
      </w:pPr>
    </w:p>
    <w:p>
      <w:pPr>
        <w:ind w:right="140" w:firstLine="324"/>
        <w:spacing w:after="0"/>
        <w:rPr>
          <w:sz w:val="20"/>
          <w:szCs w:val="20"/>
          <w:color w:val="auto"/>
        </w:rPr>
      </w:pPr>
      <w:r>
        <w:rPr>
          <w:rFonts w:ascii="Arial" w:cs="Arial" w:eastAsia="Arial" w:hAnsi="Arial"/>
          <w:sz w:val="22"/>
          <w:szCs w:val="22"/>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22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enter into our operating agreement; and</w:t>
      </w:r>
    </w:p>
    <w:p>
      <w:pPr>
        <w:spacing w:after="0" w:line="252"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makes the consents, acknowledgements and waivers contained in our operating agreement, such as the approval of all transactions and agreements that we entered into in connection with our formation and initial public offering.</w:t>
      </w:r>
    </w:p>
    <w:p>
      <w:pPr>
        <w:spacing w:after="0" w:line="190"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color w:val="auto"/>
        </w:rPr>
        <w:t>We will cause any transfers to be recorded on our books and records from time to time (or shall cause the transfer agent to do so, as applicable).</w:t>
      </w:r>
    </w:p>
    <w:p>
      <w:pPr>
        <w:spacing w:after="0" w:line="200" w:lineRule="exact"/>
        <w:rPr>
          <w:sz w:val="20"/>
          <w:szCs w:val="20"/>
          <w:color w:val="auto"/>
        </w:rPr>
      </w:pPr>
    </w:p>
    <w:p>
      <w:pPr>
        <w:jc w:val="both"/>
        <w:ind w:right="60" w:firstLine="324"/>
        <w:spacing w:after="0"/>
        <w:rPr>
          <w:sz w:val="20"/>
          <w:szCs w:val="20"/>
          <w:color w:val="auto"/>
        </w:rPr>
      </w:pPr>
      <w:r>
        <w:rPr>
          <w:rFonts w:ascii="Arial" w:cs="Arial" w:eastAsia="Arial" w:hAnsi="Arial"/>
          <w:sz w:val="22"/>
          <w:szCs w:val="22"/>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Class A shares and Class B shares are securities and any transfers are subject to the laws governing the transfer of securities.</w:t>
      </w:r>
    </w:p>
    <w:p>
      <w:pPr>
        <w:spacing w:after="0" w:line="268"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22"/>
          <w:szCs w:val="22"/>
          <w:b w:val="1"/>
          <w:bCs w:val="1"/>
          <w:color w:val="auto"/>
        </w:rPr>
        <w:t>DESCRIPTION OF DEPOSITARY SHARES</w:t>
      </w:r>
    </w:p>
    <w:p>
      <w:pPr>
        <w:spacing w:after="0" w:line="240" w:lineRule="exact"/>
        <w:rPr>
          <w:sz w:val="20"/>
          <w:szCs w:val="20"/>
          <w:color w:val="auto"/>
        </w:rPr>
      </w:pPr>
    </w:p>
    <w:p>
      <w:pPr>
        <w:jc w:val="both"/>
        <w:ind w:right="280" w:firstLine="324"/>
        <w:spacing w:after="0"/>
        <w:rPr>
          <w:sz w:val="20"/>
          <w:szCs w:val="20"/>
          <w:color w:val="auto"/>
        </w:rPr>
      </w:pPr>
      <w:r>
        <w:rPr>
          <w:rFonts w:ascii="Arial" w:cs="Arial" w:eastAsia="Arial" w:hAnsi="Arial"/>
          <w:sz w:val="22"/>
          <w:szCs w:val="22"/>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213"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We may issue depositary receipts representing interests in shares of particular series of preferred shares which are called depositary shares. We will deposit the preferred shares of a series which are the subject of depositary shares with a depositary to be named in the applicable prospectus supplement, which will hold the preferred shares for the benefit of the holders of the depositary shares, in accordance with a deposit agreement between the depositary and us. The holders of depositary shares will be entitled to all the rights and preferences of the preferred shares to which the depositary shares relate, including dividend, voting, conversion, redemption and liquidation rights, to the extent of their interests in the preferred shares.</w:t>
      </w:r>
    </w:p>
    <w:p>
      <w:pPr>
        <w:spacing w:after="0" w:line="178" w:lineRule="exact"/>
        <w:rPr>
          <w:sz w:val="20"/>
          <w:szCs w:val="20"/>
          <w:color w:val="auto"/>
        </w:rPr>
      </w:pPr>
    </w:p>
    <w:p>
      <w:pPr>
        <w:ind w:right="380" w:firstLine="324"/>
        <w:spacing w:after="0" w:line="328" w:lineRule="auto"/>
        <w:rPr>
          <w:sz w:val="20"/>
          <w:szCs w:val="20"/>
          <w:color w:val="auto"/>
        </w:rPr>
      </w:pPr>
      <w:r>
        <w:rPr>
          <w:rFonts w:ascii="Arial" w:cs="Arial" w:eastAsia="Arial" w:hAnsi="Arial"/>
          <w:sz w:val="19"/>
          <w:szCs w:val="19"/>
          <w:color w:val="auto"/>
        </w:rPr>
        <w:t>While the deposit agreement relating to a particular series of preferred shares may have provisions applicable solely to that series of preferred shares, all deposit agreements relating to preferred shares we issue will include the following provisions: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w:t>
      </w:r>
    </w:p>
    <w:p>
      <w:pPr>
        <w:spacing w:after="0" w:line="239"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Each time we pay a cash dividend or make any other type of cash distribution with regard to preferred shares of a series, the depositary will distribute to the holder of record of each depositary share relating to that series of preferred shares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Withdrawal of Preferred Shares</w:t>
      </w:r>
    </w:p>
    <w:p>
      <w:pPr>
        <w:spacing w:after="0" w:line="239"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A holder of depositary shares will be entitled to receive, upon surrender of depositary receipts representing depositary shares, the number of whole or fractional shares of the applicable series of preferred shares, and any money or other property, to which the depositary shares relate.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of Depositary Shares</w:t>
      </w:r>
    </w:p>
    <w:p>
      <w:pPr>
        <w:spacing w:after="0" w:line="239"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Whenever we redeem shares of preferred shares held by a depositary, the depositary will be required to redeem, on the same redemption date, depositary shares constituting, in total, the number of shares of preferred shares held by the depositary which we redeem, subject to the depositary’s receiving the redemption price of those shares of preferred shares. If fewer than all the depositary shares relating to a series are to be redeemed, the depositary shares to be redeemed will be selected by lot or by another method we determine to be equitable.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239" w:lineRule="exact"/>
        <w:rPr>
          <w:sz w:val="20"/>
          <w:szCs w:val="20"/>
          <w:color w:val="auto"/>
        </w:rPr>
      </w:pPr>
    </w:p>
    <w:p>
      <w:pPr>
        <w:ind w:right="260" w:firstLine="324"/>
        <w:spacing w:after="0" w:line="282" w:lineRule="auto"/>
        <w:rPr>
          <w:sz w:val="20"/>
          <w:szCs w:val="20"/>
          <w:color w:val="auto"/>
        </w:rPr>
      </w:pPr>
      <w:r>
        <w:rPr>
          <w:rFonts w:ascii="Arial" w:cs="Arial" w:eastAsia="Arial" w:hAnsi="Arial"/>
          <w:sz w:val="19"/>
          <w:szCs w:val="19"/>
          <w:color w:val="auto"/>
        </w:rPr>
        <w:t>Any time we send a notice of meeting or other materials relating to a meeting to the holders of a series of preferred shares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shares to which the depositary shares relate in accordance with those instructions.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Preference</w:t>
      </w:r>
    </w:p>
    <w:p>
      <w:pPr>
        <w:spacing w:after="0" w:line="239"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shares which is represented by the depositary share.</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Conversion</w:t>
      </w:r>
    </w:p>
    <w:p>
      <w:pPr>
        <w:spacing w:after="0" w:line="240" w:lineRule="exact"/>
        <w:rPr>
          <w:sz w:val="20"/>
          <w:szCs w:val="20"/>
          <w:color w:val="auto"/>
        </w:rPr>
      </w:pPr>
    </w:p>
    <w:p>
      <w:pPr>
        <w:ind w:right="80" w:firstLine="324"/>
        <w:spacing w:after="0" w:line="287" w:lineRule="auto"/>
        <w:rPr>
          <w:sz w:val="20"/>
          <w:szCs w:val="20"/>
          <w:color w:val="auto"/>
        </w:rPr>
      </w:pPr>
      <w:r>
        <w:rPr>
          <w:rFonts w:ascii="Arial" w:cs="Arial" w:eastAsia="Arial" w:hAnsi="Arial"/>
          <w:sz w:val="19"/>
          <w:szCs w:val="19"/>
          <w:color w:val="auto"/>
        </w:rPr>
        <w:t>If shares of a series of preferred shares are convertible into Class A shares or other of our securities or property, holders of depositary shares relating to that series of preferred shares will, if they surrender depositary receipts representing depositary shares and appropriate instructions to convert them, receive the Class A shares or other securities or property into which the number of shares (or fractions of shares) of preferred shares to which the depositary shares relate could at the time be converted.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and Termination of a Deposit Agreement</w:t>
      </w:r>
    </w:p>
    <w:p>
      <w:pPr>
        <w:spacing w:after="0" w:line="239"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shares to which they relate, must be approved by holders of at least two-thirds of the outstanding depositary shares. No amendment will impair the right of a holder of depositary shares to surrender the depositary receipts evidencing those depositary shares and receive the preferred shares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shares to which the depositary shares issued under the deposit agreement relate available to the holders of those depositary shares. A deposit agreement will automatically terminate if:</w:t>
      </w:r>
    </w:p>
    <w:p>
      <w:pPr>
        <w:spacing w:after="0" w:line="21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outstanding depositary shares to which it relates have been redeemed or converted.</w:t>
      </w:r>
    </w:p>
    <w:p>
      <w:pPr>
        <w:spacing w:after="0" w:line="252"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depositary has made a final distribution to the holders of the depositary shares issued under the deposit agreement upon our liquidation, dissolution or winding up.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ind w:right="280" w:firstLine="324"/>
        <w:spacing w:after="0" w:line="276" w:lineRule="auto"/>
        <w:rPr>
          <w:sz w:val="20"/>
          <w:szCs w:val="20"/>
          <w:color w:val="auto"/>
        </w:rPr>
      </w:pPr>
      <w:r>
        <w:rPr>
          <w:rFonts w:ascii="Arial" w:cs="Arial" w:eastAsia="Arial" w:hAnsi="Arial"/>
          <w:sz w:val="19"/>
          <w:szCs w:val="19"/>
          <w:color w:val="auto"/>
        </w:rPr>
        <w:t>There will be provisions: (1) requiring the depositary to forward to holders of record of depositary shares any reports or communications from us which the depositary receives with respect to the preferred shares to which the depositary shares relate;</w:t>
      </w:r>
    </w:p>
    <w:p>
      <w:pPr>
        <w:spacing w:after="0" w:line="2" w:lineRule="exact"/>
        <w:rPr>
          <w:sz w:val="20"/>
          <w:szCs w:val="20"/>
          <w:color w:val="auto"/>
        </w:rPr>
      </w:pPr>
    </w:p>
    <w:p>
      <w:pPr>
        <w:jc w:val="both"/>
        <w:ind w:right="140" w:firstLine="8"/>
        <w:spacing w:after="0" w:line="267" w:lineRule="auto"/>
        <w:tabs>
          <w:tab w:leader="none" w:pos="306"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regarding compensation of the depositary; (3) regarding resignation of the depositary; (4) limiting our liability and the liability of the depositary under the deposit agreement (usually to failure to act in good faith, gross negligence or willful misconduct); and</w:t>
      </w:r>
    </w:p>
    <w:p>
      <w:pPr>
        <w:ind w:left="320" w:hanging="312"/>
        <w:spacing w:after="0"/>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indemnifying the depositary against certain possible liabilities.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DESCRIPTION OF DEBT SECURITIES</w:t>
      </w:r>
    </w:p>
    <w:p>
      <w:pPr>
        <w:spacing w:after="0" w:line="240" w:lineRule="exact"/>
        <w:rPr>
          <w:sz w:val="20"/>
          <w:szCs w:val="20"/>
          <w:color w:val="auto"/>
        </w:rPr>
      </w:pPr>
    </w:p>
    <w:p>
      <w:pPr>
        <w:ind w:right="480" w:firstLine="324"/>
        <w:spacing w:after="0" w:line="251" w:lineRule="auto"/>
        <w:rPr>
          <w:sz w:val="20"/>
          <w:szCs w:val="20"/>
          <w:color w:val="auto"/>
        </w:rPr>
      </w:pPr>
      <w:r>
        <w:rPr>
          <w:rFonts w:ascii="Arial" w:cs="Arial" w:eastAsia="Arial" w:hAnsi="Arial"/>
          <w:sz w:val="22"/>
          <w:szCs w:val="22"/>
          <w:color w:val="auto"/>
        </w:rPr>
        <w:t>We may offer debt securities in one or more series, which may be senior debt securities or subordinated debt securities and which may be convertible into another security.</w:t>
      </w:r>
    </w:p>
    <w:p>
      <w:pPr>
        <w:spacing w:after="0" w:line="200"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212" w:lineRule="exact"/>
        <w:rPr>
          <w:sz w:val="20"/>
          <w:szCs w:val="20"/>
          <w:color w:val="auto"/>
        </w:rPr>
      </w:pPr>
    </w:p>
    <w:p>
      <w:pPr>
        <w:ind w:right="320" w:firstLine="324"/>
        <w:spacing w:after="0"/>
        <w:rPr>
          <w:sz w:val="20"/>
          <w:szCs w:val="20"/>
          <w:color w:val="auto"/>
        </w:rPr>
      </w:pPr>
      <w:r>
        <w:rPr>
          <w:rFonts w:ascii="Arial" w:cs="Arial" w:eastAsia="Arial" w:hAnsi="Arial"/>
          <w:sz w:val="22"/>
          <w:szCs w:val="22"/>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22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 of such series;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applicable subordination provisions for any subordinated debt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the principal amount, the principal amount of debt securities payable upon acceleration;</w:t>
      </w:r>
    </w:p>
    <w:p>
      <w:pPr>
        <w:spacing w:after="0" w:line="252"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or forms of the debt securities of the series including such legends as may be required by applicable law;</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such security;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discount or premium, if any, with which the debt securities will be issued;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252"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19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the debt securities will be payable;</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we or the holders of the debt securities can select the payment currency;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granting special rights to holders of the debt securities upon occurrence of specified events;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21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9"/>
          <w:szCs w:val="19"/>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85"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United States federal income tax consequences and special considerations, if any, applicable to any such series will be described in an accompanying prospectus supplement.</w:t>
      </w:r>
    </w:p>
    <w:p>
      <w:pPr>
        <w:spacing w:after="0" w:line="200" w:lineRule="exact"/>
        <w:rPr>
          <w:sz w:val="20"/>
          <w:szCs w:val="20"/>
          <w:color w:val="auto"/>
        </w:rPr>
      </w:pPr>
    </w:p>
    <w:p>
      <w:pPr>
        <w:ind w:right="260" w:firstLine="324"/>
        <w:spacing w:after="0" w:line="236" w:lineRule="auto"/>
        <w:rPr>
          <w:sz w:val="20"/>
          <w:szCs w:val="20"/>
          <w:color w:val="auto"/>
        </w:rPr>
      </w:pPr>
      <w:r>
        <w:rPr>
          <w:rFonts w:ascii="Arial" w:cs="Arial" w:eastAsia="Arial" w:hAnsi="Arial"/>
          <w:sz w:val="22"/>
          <w:szCs w:val="22"/>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Global Securities</w:t>
      </w:r>
    </w:p>
    <w:p>
      <w:pPr>
        <w:spacing w:after="0" w:line="240"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DESCRIPTION OF WARRANTS</w:t>
      </w:r>
    </w:p>
    <w:p>
      <w:pPr>
        <w:spacing w:after="0" w:line="240"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color w:val="auto"/>
        </w:rPr>
        <w:t>We may issue warrants for the purchase of shares of our Class A shares, preferred shares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206" w:lineRule="exact"/>
        <w:rPr>
          <w:sz w:val="20"/>
          <w:szCs w:val="20"/>
          <w:color w:val="auto"/>
        </w:rPr>
      </w:pPr>
    </w:p>
    <w:p>
      <w:pPr>
        <w:ind w:right="180" w:firstLine="324"/>
        <w:spacing w:after="0" w:line="251" w:lineRule="auto"/>
        <w:rPr>
          <w:sz w:val="20"/>
          <w:szCs w:val="20"/>
          <w:color w:val="auto"/>
        </w:rPr>
      </w:pPr>
      <w:r>
        <w:rPr>
          <w:rFonts w:ascii="Arial" w:cs="Arial" w:eastAsia="Arial" w:hAnsi="Arial"/>
          <w:sz w:val="22"/>
          <w:szCs w:val="22"/>
          <w:color w:val="auto"/>
        </w:rPr>
        <w:t>The prospectus supplement relating to a particular issue of warrants will describe the terms of those warrants, including, when applicable:</w:t>
      </w:r>
    </w:p>
    <w:p>
      <w:pPr>
        <w:spacing w:after="0" w:line="20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currency or currencies, including composite currencies, in which the purchase price and/or exercise price of the warrants may be payable;</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warrants offered;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and the amount of securities you will receive upon exercise;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 for exercise of the warrants and the circumstances, if any, that will cause the warrants to be automatically exercised;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rights, if any, we have to redeem the warrants;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warrants will expire;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of the warrant agent;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material terms of the warrants.</w:t>
      </w:r>
    </w:p>
    <w:p>
      <w:pPr>
        <w:spacing w:after="0" w:line="245" w:lineRule="exact"/>
        <w:rPr>
          <w:sz w:val="20"/>
          <w:szCs w:val="20"/>
          <w:color w:val="auto"/>
        </w:rPr>
      </w:pPr>
    </w:p>
    <w:p>
      <w:pPr>
        <w:ind w:right="220" w:firstLine="324"/>
        <w:spacing w:after="0" w:line="251" w:lineRule="auto"/>
        <w:rPr>
          <w:sz w:val="20"/>
          <w:szCs w:val="20"/>
          <w:color w:val="auto"/>
        </w:rPr>
      </w:pPr>
      <w:r>
        <w:rPr>
          <w:rFonts w:ascii="Arial" w:cs="Arial" w:eastAsia="Arial" w:hAnsi="Arial"/>
          <w:sz w:val="22"/>
          <w:szCs w:val="22"/>
          <w:color w:val="auto"/>
        </w:rPr>
        <w:t>Each issue of warrants will be evidenced by warrant certificates. After warrants expire they will become void. The prospectus supplement may provide for the adjustment of the exercise price of the warrants.</w:t>
      </w:r>
    </w:p>
    <w:p>
      <w:pPr>
        <w:spacing w:after="0" w:line="200" w:lineRule="exact"/>
        <w:rPr>
          <w:sz w:val="20"/>
          <w:szCs w:val="20"/>
          <w:color w:val="auto"/>
        </w:rPr>
      </w:pPr>
    </w:p>
    <w:p>
      <w:pPr>
        <w:ind w:right="560" w:firstLine="324"/>
        <w:spacing w:after="0" w:line="297" w:lineRule="auto"/>
        <w:rPr>
          <w:sz w:val="20"/>
          <w:szCs w:val="20"/>
          <w:color w:val="auto"/>
        </w:rPr>
      </w:pPr>
      <w:r>
        <w:rPr>
          <w:rFonts w:ascii="Arial" w:cs="Arial" w:eastAsia="Arial" w:hAnsi="Arial"/>
          <w:sz w:val="19"/>
          <w:szCs w:val="19"/>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161"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SELLING SECURITYHOLDERS</w:t>
      </w:r>
    </w:p>
    <w:p>
      <w:pPr>
        <w:spacing w:after="0" w:line="240" w:lineRule="exact"/>
        <w:rPr>
          <w:sz w:val="20"/>
          <w:szCs w:val="20"/>
          <w:color w:val="auto"/>
        </w:rPr>
      </w:pPr>
    </w:p>
    <w:p>
      <w:pPr>
        <w:ind w:right="360" w:firstLine="324"/>
        <w:spacing w:after="0" w:line="297" w:lineRule="auto"/>
        <w:rPr>
          <w:sz w:val="20"/>
          <w:szCs w:val="20"/>
          <w:color w:val="auto"/>
        </w:rPr>
      </w:pPr>
      <w:r>
        <w:rPr>
          <w:rFonts w:ascii="Arial" w:cs="Arial" w:eastAsia="Arial" w:hAnsi="Arial"/>
          <w:sz w:val="19"/>
          <w:szCs w:val="19"/>
          <w:color w:val="auto"/>
        </w:rPr>
        <w:t>This prospectus also relates to the offer and sale from time to time of up to 145,050,664 Class A shares by certain of our shareholders identified in the table below, who we refer to in this prospectus as the “selling securityholders.” The selling securityholders identified below may currently hold or acquire at any time Class A shares in addition to those registered hereby.</w:t>
      </w:r>
    </w:p>
    <w:p>
      <w:pPr>
        <w:spacing w:after="0" w:line="161"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215"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The information in the below table (other than the percentages of our outstanding Class A shares beneficially owned) in respect of the selling securityholders was furnished by or on behalf of the selling securityholders and is as of March 1, 2020. Except as may be noted in this section, none of the selling securityholders has, or within the past three years has had, any material relationship with us or any of our affiliates.</w:t>
      </w:r>
    </w:p>
    <w:p>
      <w:pPr>
        <w:spacing w:after="0" w:line="212" w:lineRule="exact"/>
        <w:rPr>
          <w:sz w:val="20"/>
          <w:szCs w:val="20"/>
          <w:color w:val="auto"/>
        </w:rPr>
      </w:pPr>
    </w:p>
    <w:p>
      <w:pPr>
        <w:jc w:val="both"/>
        <w:ind w:right="200" w:firstLine="324"/>
        <w:spacing w:after="0"/>
        <w:rPr>
          <w:sz w:val="20"/>
          <w:szCs w:val="20"/>
          <w:color w:val="auto"/>
        </w:rPr>
      </w:pPr>
      <w:r>
        <w:rPr>
          <w:rFonts w:ascii="Arial" w:cs="Arial" w:eastAsia="Arial" w:hAnsi="Arial"/>
          <w:sz w:val="22"/>
          <w:szCs w:val="22"/>
          <w:color w:val="auto"/>
        </w:rPr>
        <w:t>NFEH is party to a shareholders’ agreement with us pursuant to which NFEH and certain of its permitted transferees have the right, in certain circumstances, to require us to register their shares of our Class A shares under the Securities Act for sale into the public markets.</w:t>
      </w:r>
    </w:p>
    <w:p>
      <w:pPr>
        <w:spacing w:after="0" w:line="213" w:lineRule="exact"/>
        <w:rPr>
          <w:sz w:val="20"/>
          <w:szCs w:val="20"/>
          <w:color w:val="auto"/>
        </w:rPr>
      </w:pPr>
    </w:p>
    <w:p>
      <w:pPr>
        <w:ind w:right="180" w:firstLine="324"/>
        <w:spacing w:after="0" w:line="287" w:lineRule="auto"/>
        <w:rPr>
          <w:sz w:val="20"/>
          <w:szCs w:val="20"/>
          <w:color w:val="auto"/>
        </w:rPr>
      </w:pPr>
      <w:r>
        <w:rPr>
          <w:rFonts w:ascii="Arial" w:cs="Arial" w:eastAsia="Arial" w:hAnsi="Arial"/>
          <w:sz w:val="19"/>
          <w:szCs w:val="19"/>
          <w:color w:val="auto"/>
        </w:rPr>
        <w:t>No offer or sale under this prospectus may be made by any securityholder unless that holder is listed in the table below, in any supplement to this prospectus or in an amendment to the related registration statement that has become effective. We will supplement or amend this prospectus if applicable to include additional selling securityholders upon provision of all required information to us and subject to the terms of any relevant agreement between us and the selling securityholders.</w:t>
      </w:r>
    </w:p>
    <w:p>
      <w:pPr>
        <w:spacing w:after="0" w:line="170" w:lineRule="exact"/>
        <w:rPr>
          <w:sz w:val="20"/>
          <w:szCs w:val="20"/>
          <w:color w:val="auto"/>
        </w:rPr>
      </w:pPr>
    </w:p>
    <w:p>
      <w:pPr>
        <w:ind w:right="20" w:firstLine="324"/>
        <w:spacing w:after="0" w:line="247" w:lineRule="auto"/>
        <w:rPr>
          <w:sz w:val="20"/>
          <w:szCs w:val="20"/>
          <w:color w:val="auto"/>
        </w:rPr>
      </w:pPr>
      <w:r>
        <w:rPr>
          <w:rFonts w:ascii="Arial" w:cs="Arial" w:eastAsia="Arial" w:hAnsi="Arial"/>
          <w:sz w:val="21"/>
          <w:szCs w:val="21"/>
          <w:color w:val="auto"/>
        </w:rPr>
        <w:t>The selling securityholders are not obligated to sell any of the Class A shares offered by this prospectus. Because the selling securityholders identified in the table may sell some or all of the Class A shares owned by them that are included in this prospectus, and because there are currently no agreements, arrangements or understandings with respect to the sale of any such Class A shares, no estimate can be given as to the number of shares covered by this prospectus that will be held by the selling securityholders upon termination of this offering. Therefore, for the purposes of the following table we have assumed that the selling securityholders will sell all of the Class A shares beneficially owned by them that are covered by this prospectus, but will not sell any other Class A shares that they may currently own.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7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5"/>
              </w:rPr>
              <w:t>Class A Shares Beneficially</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Class A Shares</w:t>
            </w:r>
          </w:p>
        </w:tc>
        <w:tc>
          <w:tcPr>
            <w:tcW w:w="2600" w:type="dxa"/>
            <w:vAlign w:val="bottom"/>
            <w:gridSpan w:val="4"/>
          </w:tcPr>
          <w:p>
            <w:pPr>
              <w:ind w:left="200"/>
              <w:spacing w:after="0"/>
              <w:rPr>
                <w:sz w:val="20"/>
                <w:szCs w:val="20"/>
                <w:color w:val="auto"/>
              </w:rPr>
            </w:pPr>
            <w:r>
              <w:rPr>
                <w:rFonts w:ascii="Arial" w:cs="Arial" w:eastAsia="Arial" w:hAnsi="Arial"/>
                <w:sz w:val="18"/>
                <w:szCs w:val="18"/>
                <w:b w:val="1"/>
                <w:bCs w:val="1"/>
                <w:color w:val="auto"/>
              </w:rPr>
              <w:t>Class A Shares Beneficially</w:t>
            </w:r>
          </w:p>
        </w:tc>
      </w:tr>
      <w:tr>
        <w:trPr>
          <w:trHeight w:val="241"/>
        </w:trPr>
        <w:tc>
          <w:tcPr>
            <w:tcW w:w="4640" w:type="dxa"/>
            <w:vAlign w:val="bottom"/>
          </w:tcPr>
          <w:p>
            <w:pPr>
              <w:spacing w:after="0"/>
              <w:rPr>
                <w:sz w:val="20"/>
                <w:szCs w:val="20"/>
                <w:color w:val="auto"/>
              </w:rPr>
            </w:pPr>
          </w:p>
        </w:tc>
        <w:tc>
          <w:tcPr>
            <w:tcW w:w="27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8"/>
              </w:rPr>
              <w:t>Owned Prior to the Offering</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Offered Hereby</w:t>
            </w:r>
          </w:p>
        </w:tc>
        <w:tc>
          <w:tcPr>
            <w:tcW w:w="2600" w:type="dxa"/>
            <w:vAlign w:val="bottom"/>
            <w:gridSpan w:val="4"/>
          </w:tcPr>
          <w:p>
            <w:pPr>
              <w:ind w:left="260"/>
              <w:spacing w:after="0"/>
              <w:rPr>
                <w:sz w:val="20"/>
                <w:szCs w:val="20"/>
                <w:color w:val="auto"/>
              </w:rPr>
            </w:pPr>
            <w:r>
              <w:rPr>
                <w:rFonts w:ascii="Arial" w:cs="Arial" w:eastAsia="Arial" w:hAnsi="Arial"/>
                <w:sz w:val="18"/>
                <w:szCs w:val="18"/>
                <w:b w:val="1"/>
                <w:bCs w:val="1"/>
                <w:color w:val="auto"/>
              </w:rPr>
              <w:t>Owned After the Offering</w:t>
            </w:r>
          </w:p>
        </w:tc>
      </w:tr>
      <w:tr>
        <w:trPr>
          <w:trHeight w:val="223"/>
        </w:trPr>
        <w:tc>
          <w:tcPr>
            <w:tcW w:w="4640" w:type="dxa"/>
            <w:vAlign w:val="bottom"/>
          </w:tcPr>
          <w:p>
            <w:pPr>
              <w:spacing w:after="0"/>
              <w:rPr>
                <w:sz w:val="19"/>
                <w:szCs w:val="19"/>
                <w:color w:val="auto"/>
              </w:rPr>
            </w:pPr>
          </w:p>
        </w:tc>
        <w:tc>
          <w:tcPr>
            <w:tcW w:w="136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b w:val="1"/>
                <w:bCs w:val="1"/>
                <w:color w:val="auto"/>
              </w:rPr>
              <w:t>Selling Securityholders</w:t>
            </w: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Fortress Energy Holdings (2)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144,342,572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144,342,572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Directors and Executive Officers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Christopher S. Guinta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279,518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279,518</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Desmond Iain Catterall</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71,429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71,429</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David J. Grain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114,294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71,429</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 William Griffin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308,429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71,429</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John J. Mack</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131,429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71,429</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Katherine E. Wanner</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75,329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71,429</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Matthew Wilkinson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83,929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71,429</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Represents beneficial ownership of less than one percent of shares outstanding. See footnote (1).</w:t>
      </w:r>
    </w:p>
    <w:p>
      <w:pPr>
        <w:spacing w:after="0" w:line="8" w:lineRule="exact"/>
        <w:rPr>
          <w:sz w:val="20"/>
          <w:szCs w:val="20"/>
          <w:color w:val="auto"/>
        </w:rPr>
      </w:pPr>
    </w:p>
    <w:p>
      <w:pPr>
        <w:ind w:right="120" w:firstLine="8"/>
        <w:spacing w:after="0" w:line="230" w:lineRule="auto"/>
        <w:tabs>
          <w:tab w:leader="none" w:pos="792" w:val="left"/>
        </w:tabs>
        <w:numPr>
          <w:ilvl w:val="0"/>
          <w:numId w:val="16"/>
        </w:numPr>
        <w:rPr>
          <w:rFonts w:ascii="Arial" w:cs="Arial" w:eastAsia="Arial" w:hAnsi="Arial"/>
          <w:sz w:val="22"/>
          <w:szCs w:val="22"/>
          <w:color w:val="auto"/>
        </w:rPr>
      </w:pPr>
      <w:r>
        <w:rPr>
          <w:rFonts w:ascii="Arial" w:cs="Arial" w:eastAsia="Arial" w:hAnsi="Arial"/>
          <w:sz w:val="22"/>
          <w:szCs w:val="22"/>
          <w:color w:val="auto"/>
        </w:rPr>
        <w:t>As of March 1, 2020, we had 23,607,096 Class A shares outstanding and 144,342,572 Class B shares outstanding, and all Class B shares outstanding were owned by NFEH. All of the selling securityholders, other than NFEH, held less than 1% of the total Class A shares and none of the Class B shares outstanding.</w:t>
      </w:r>
    </w:p>
    <w:p>
      <w:pPr>
        <w:spacing w:after="0" w:line="2" w:lineRule="exact"/>
        <w:rPr>
          <w:rFonts w:ascii="Arial" w:cs="Arial" w:eastAsia="Arial" w:hAnsi="Arial"/>
          <w:sz w:val="22"/>
          <w:szCs w:val="22"/>
          <w:color w:val="auto"/>
        </w:rPr>
      </w:pPr>
    </w:p>
    <w:p>
      <w:pPr>
        <w:ind w:right="80" w:firstLine="8"/>
        <w:spacing w:after="0" w:line="273" w:lineRule="auto"/>
        <w:tabs>
          <w:tab w:leader="none" w:pos="792" w:val="left"/>
        </w:tabs>
        <w:numPr>
          <w:ilvl w:val="0"/>
          <w:numId w:val="16"/>
        </w:numPr>
        <w:rPr>
          <w:rFonts w:ascii="Arial" w:cs="Arial" w:eastAsia="Arial" w:hAnsi="Arial"/>
          <w:sz w:val="19"/>
          <w:szCs w:val="19"/>
          <w:color w:val="auto"/>
        </w:rPr>
      </w:pPr>
      <w:r>
        <w:rPr>
          <w:rFonts w:ascii="Arial" w:cs="Arial" w:eastAsia="Arial" w:hAnsi="Arial"/>
          <w:sz w:val="19"/>
          <w:szCs w:val="19"/>
          <w:color w:val="auto"/>
        </w:rPr>
        <w:t>NFEH, which directly holds the Class B shares of the Company, is majority-owned and controlled by Fortress Equity Partners (A) LP (the “Fortress Shareholder”), a Delaware limited partnership. The Fortress Shareholder is managed by FIG LLC, a Delaware limited liability company, which is an affiliate of Fortress Investment Group LLC. Fortress Shareholder is controlled by Wesley R. Edens, our Chief Executive Officer and Chairman of the Board of Directors. Mr. Edens exercises voting power over the shares held by New Fortress Energy Holdings and may be deemed to be the beneficial owner thereof. Each of Mr. Edens and Mr. Randal A. Nardone, a member of our Board of Directors, has the right to acquire beneficial ownership of his pro rata portion of the Class B shares and corresponding NFI LLC Units held directly by New Fortress Energy Holdings at his election pursuant to the NFI LLC Agreement and may be deemed to share dispositive power over such Class B shares and NFI LLC Units.</w:t>
      </w:r>
    </w:p>
    <w:p>
      <w:pPr>
        <w:sectPr>
          <w:pgSz w:w="11900" w:h="16838" w:orient="portrait"/>
          <w:cols w:equalWidth="0" w:num="1">
            <w:col w:w="11420"/>
          </w:cols>
          <w:pgMar w:left="240" w:top="111" w:right="239" w:bottom="848"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848" w:gutter="0" w:footer="0" w:header="0"/>
          <w:type w:val="continuous"/>
        </w:sectPr>
      </w:pPr>
    </w:p>
    <w:bookmarkStart w:id="22" w:name="page23"/>
    <w:bookmarkEnd w:id="22"/>
    <w:p>
      <w:pPr>
        <w:ind w:left="1060"/>
        <w:spacing w:after="0"/>
        <w:rPr>
          <w:sz w:val="20"/>
          <w:szCs w:val="20"/>
          <w:color w:val="auto"/>
        </w:rPr>
      </w:pPr>
      <w:r>
        <w:rPr>
          <w:rFonts w:ascii="Arial" w:cs="Arial" w:eastAsia="Arial" w:hAnsi="Arial"/>
          <w:sz w:val="22"/>
          <w:szCs w:val="22"/>
          <w:b w:val="1"/>
          <w:bCs w:val="1"/>
          <w:color w:val="auto"/>
        </w:rPr>
        <w:t>DESCRIPTION OF OUR OPERATING AGREEMENT AND PROVISIONS OF DELAWARE LAW</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Organization and Duration</w:t>
      </w:r>
    </w:p>
    <w:p>
      <w:pPr>
        <w:spacing w:after="0" w:line="239" w:lineRule="exact"/>
        <w:rPr>
          <w:sz w:val="20"/>
          <w:szCs w:val="20"/>
          <w:color w:val="auto"/>
        </w:rPr>
      </w:pPr>
    </w:p>
    <w:p>
      <w:pPr>
        <w:ind w:right="240" w:firstLine="324"/>
        <w:spacing w:after="0" w:line="251" w:lineRule="auto"/>
        <w:rPr>
          <w:sz w:val="20"/>
          <w:szCs w:val="20"/>
          <w:color w:val="auto"/>
        </w:rPr>
      </w:pPr>
      <w:r>
        <w:rPr>
          <w:rFonts w:ascii="Arial" w:cs="Arial" w:eastAsia="Arial" w:hAnsi="Arial"/>
          <w:sz w:val="22"/>
          <w:szCs w:val="22"/>
          <w:color w:val="auto"/>
        </w:rPr>
        <w:t>Our limited liability company was formed on August 6, 2018, and will remain in existence until dissolved in accordance with our operating agreement.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239" w:lineRule="exact"/>
        <w:rPr>
          <w:sz w:val="20"/>
          <w:szCs w:val="20"/>
          <w:color w:val="auto"/>
        </w:rPr>
      </w:pPr>
    </w:p>
    <w:p>
      <w:pPr>
        <w:jc w:val="both"/>
        <w:ind w:right="560" w:firstLine="324"/>
        <w:spacing w:after="0" w:line="258" w:lineRule="auto"/>
        <w:rPr>
          <w:sz w:val="20"/>
          <w:szCs w:val="20"/>
          <w:color w:val="auto"/>
        </w:rPr>
      </w:pPr>
      <w:r>
        <w:rPr>
          <w:rFonts w:ascii="Arial" w:cs="Arial" w:eastAsia="Arial" w:hAnsi="Arial"/>
          <w:sz w:val="21"/>
          <w:szCs w:val="21"/>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 to be Bound by our Operating Agreement; Power of Attorney</w:t>
      </w:r>
    </w:p>
    <w:p>
      <w:pPr>
        <w:spacing w:after="0" w:line="239"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By purchasing our Class A shares, you will be admitted as a member of our limited liability company and will be deemed to have agreed to be bound by the terms of our operating agreement. Pursuant to this agreement, each Class A shareholder and each person who acquires Class A shares from a Class A shareholder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of Our Operating Agreement</w:t>
      </w:r>
    </w:p>
    <w:p>
      <w:pPr>
        <w:spacing w:after="0" w:line="239" w:lineRule="exact"/>
        <w:rPr>
          <w:sz w:val="20"/>
          <w:szCs w:val="20"/>
          <w:color w:val="auto"/>
        </w:rPr>
      </w:pPr>
    </w:p>
    <w:p>
      <w:pPr>
        <w:ind w:right="140" w:firstLine="324"/>
        <w:spacing w:after="0" w:line="287" w:lineRule="auto"/>
        <w:rPr>
          <w:sz w:val="20"/>
          <w:szCs w:val="20"/>
          <w:color w:val="auto"/>
        </w:rPr>
      </w:pPr>
      <w:r>
        <w:rPr>
          <w:rFonts w:ascii="Arial" w:cs="Arial" w:eastAsia="Arial" w:hAnsi="Arial"/>
          <w:sz w:val="19"/>
          <w:szCs w:val="19"/>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Prohibited Amendments</w:t>
      </w:r>
      <w:r>
        <w:rPr>
          <w:rFonts w:ascii="Arial" w:cs="Arial" w:eastAsia="Arial" w:hAnsi="Arial"/>
          <w:sz w:val="22"/>
          <w:szCs w:val="22"/>
          <w:color w:val="auto"/>
        </w:rPr>
        <w:t>. No amendment may be made that would:</w:t>
      </w:r>
    </w:p>
    <w:p>
      <w:pPr>
        <w:spacing w:after="0" w:line="240" w:lineRule="exact"/>
        <w:rPr>
          <w:sz w:val="20"/>
          <w:szCs w:val="20"/>
          <w:color w:val="auto"/>
        </w:rPr>
      </w:pPr>
    </w:p>
    <w:p>
      <w:pPr>
        <w:ind w:left="660" w:right="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190" w:lineRule="exact"/>
        <w:rPr>
          <w:sz w:val="20"/>
          <w:szCs w:val="20"/>
          <w:color w:val="auto"/>
        </w:rPr>
      </w:pPr>
    </w:p>
    <w:p>
      <w:pPr>
        <w:ind w:right="180" w:firstLine="324"/>
        <w:spacing w:after="0" w:line="251" w:lineRule="auto"/>
        <w:rPr>
          <w:sz w:val="20"/>
          <w:szCs w:val="20"/>
          <w:color w:val="auto"/>
        </w:rPr>
      </w:pPr>
      <w:r>
        <w:rPr>
          <w:rFonts w:ascii="Arial" w:cs="Arial" w:eastAsia="Arial" w:hAnsi="Arial"/>
          <w:sz w:val="22"/>
          <w:szCs w:val="22"/>
          <w:color w:val="auto"/>
        </w:rPr>
        <w:t>The provision of our operating agreement preventing the amendments having the effects described in any of the clauses above can be amended upon the approval of holders of at least two-thirds of the outstanding shares.</w:t>
      </w:r>
    </w:p>
    <w:p>
      <w:pPr>
        <w:spacing w:after="0" w:line="200" w:lineRule="exact"/>
        <w:rPr>
          <w:sz w:val="20"/>
          <w:szCs w:val="20"/>
          <w:color w:val="auto"/>
        </w:rPr>
      </w:pPr>
    </w:p>
    <w:p>
      <w:pPr>
        <w:ind w:right="460" w:firstLine="324"/>
        <w:spacing w:after="0" w:line="251" w:lineRule="auto"/>
        <w:rPr>
          <w:sz w:val="20"/>
          <w:szCs w:val="20"/>
          <w:color w:val="auto"/>
        </w:rPr>
      </w:pPr>
      <w:r>
        <w:rPr>
          <w:rFonts w:ascii="Arial" w:cs="Arial" w:eastAsia="Arial" w:hAnsi="Arial"/>
          <w:sz w:val="22"/>
          <w:szCs w:val="22"/>
          <w:i w:val="1"/>
          <w:iCs w:val="1"/>
          <w:color w:val="auto"/>
        </w:rPr>
        <w:t>No Shareholder Approval</w:t>
      </w:r>
      <w:r>
        <w:rPr>
          <w:rFonts w:ascii="Arial" w:cs="Arial" w:eastAsia="Arial" w:hAnsi="Arial"/>
          <w:sz w:val="22"/>
          <w:szCs w:val="22"/>
          <w:color w:val="auto"/>
        </w:rPr>
        <w:t>. Our board of directors may generally make amendments to our operating agreement without the</w:t>
      </w:r>
      <w:r>
        <w:rPr>
          <w:rFonts w:ascii="Arial" w:cs="Arial" w:eastAsia="Arial" w:hAnsi="Arial"/>
          <w:sz w:val="22"/>
          <w:szCs w:val="22"/>
          <w:i w:val="1"/>
          <w:iCs w:val="1"/>
          <w:color w:val="auto"/>
        </w:rPr>
        <w:t xml:space="preserve"> </w:t>
      </w:r>
      <w:r>
        <w:rPr>
          <w:rFonts w:ascii="Arial" w:cs="Arial" w:eastAsia="Arial" w:hAnsi="Arial"/>
          <w:sz w:val="22"/>
          <w:szCs w:val="22"/>
          <w:color w:val="auto"/>
        </w:rPr>
        <w:t>approval of any shareholder or assignee to reflect:</w:t>
      </w:r>
    </w:p>
    <w:p>
      <w:pPr>
        <w:spacing w:after="0" w:line="20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that our board of directors determines to be necessary or appropriate for us to qualify or continue our qualification as a company in which our members have limited liability under the laws of any state;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252"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amendment effected, necessitated or contemplated by a merger agreement that has been approved under the terms of our operating agreement;</w:t>
      </w:r>
    </w:p>
    <w:p>
      <w:pPr>
        <w:spacing w:after="0" w:line="275" w:lineRule="exact"/>
        <w:rPr>
          <w:rFonts w:ascii="Arial" w:cs="Arial" w:eastAsia="Arial" w:hAnsi="Arial"/>
          <w:sz w:val="16"/>
          <w:szCs w:val="16"/>
          <w:color w:val="auto"/>
        </w:rPr>
      </w:pPr>
    </w:p>
    <w:p>
      <w:pPr>
        <w:ind w:left="660" w:right="8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245" w:lineRule="exact"/>
        <w:rPr>
          <w:sz w:val="20"/>
          <w:szCs w:val="20"/>
          <w:color w:val="auto"/>
        </w:rPr>
      </w:pPr>
    </w:p>
    <w:p>
      <w:pPr>
        <w:ind w:right="160" w:firstLine="324"/>
        <w:spacing w:after="0" w:line="251" w:lineRule="auto"/>
        <w:rPr>
          <w:sz w:val="20"/>
          <w:szCs w:val="20"/>
          <w:color w:val="auto"/>
        </w:rPr>
      </w:pPr>
      <w:r>
        <w:rPr>
          <w:rFonts w:ascii="Arial" w:cs="Arial" w:eastAsia="Arial" w:hAnsi="Arial"/>
          <w:sz w:val="22"/>
          <w:szCs w:val="22"/>
          <w:color w:val="auto"/>
        </w:rPr>
        <w:t>In addition, our board of directors may make amendments to our operating agreement without the approval of any shareholder or assignee if our board of directors determines that those amendments:</w:t>
      </w:r>
    </w:p>
    <w:p>
      <w:pPr>
        <w:spacing w:after="0" w:line="20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97"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208"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Termination and Dissolution</w:t>
      </w:r>
    </w:p>
    <w:p>
      <w:pPr>
        <w:spacing w:after="0" w:line="240"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Books and Reports</w:t>
      </w:r>
    </w:p>
    <w:p>
      <w:pPr>
        <w:spacing w:after="0" w:line="239"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we are only be required to provide access to our books and records to shareholders who have held over 1% of our total outstanding shares for a period of at least one year from the date of such request. We use reasonable efforts to furnish to you an annual report containing audited consolidated financial statements and a report on those consolidated financial statements by our independent public accountants. We are be deemed to have made any such report available if we file such report with the SEC on EDGAR or make the report available on a publicly available website that we maintain.</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Delaware Law and Our Operating Agreement</w:t>
      </w:r>
    </w:p>
    <w:p>
      <w:pPr>
        <w:spacing w:after="0" w:line="239" w:lineRule="exact"/>
        <w:rPr>
          <w:sz w:val="20"/>
          <w:szCs w:val="20"/>
          <w:color w:val="auto"/>
        </w:rPr>
      </w:pPr>
    </w:p>
    <w:p>
      <w:pPr>
        <w:jc w:val="center"/>
        <w:ind w:right="140"/>
        <w:spacing w:after="0" w:line="297" w:lineRule="auto"/>
        <w:rPr>
          <w:sz w:val="20"/>
          <w:szCs w:val="20"/>
          <w:color w:val="auto"/>
        </w:rPr>
      </w:pPr>
      <w:r>
        <w:rPr>
          <w:rFonts w:ascii="Arial" w:cs="Arial" w:eastAsia="Arial" w:hAnsi="Arial"/>
          <w:sz w:val="19"/>
          <w:szCs w:val="19"/>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Issuance of Additional Interests</w:t>
      </w:r>
    </w:p>
    <w:p>
      <w:pPr>
        <w:spacing w:after="0" w:line="233"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Business Combination Statute—Section 203</w:t>
      </w:r>
    </w:p>
    <w:p>
      <w:pPr>
        <w:spacing w:after="0" w:line="233" w:lineRule="exact"/>
        <w:rPr>
          <w:sz w:val="20"/>
          <w:szCs w:val="20"/>
          <w:color w:val="auto"/>
        </w:rPr>
      </w:pPr>
    </w:p>
    <w:p>
      <w:pPr>
        <w:ind w:right="340" w:firstLine="324"/>
        <w:spacing w:after="0" w:line="251" w:lineRule="auto"/>
        <w:rPr>
          <w:sz w:val="20"/>
          <w:szCs w:val="20"/>
          <w:color w:val="auto"/>
        </w:rPr>
      </w:pPr>
      <w:r>
        <w:rPr>
          <w:rFonts w:ascii="Arial" w:cs="Arial" w:eastAsia="Arial" w:hAnsi="Arial"/>
          <w:sz w:val="22"/>
          <w:szCs w:val="22"/>
          <w:color w:val="auto"/>
        </w:rPr>
        <w:t>We are a limited liability company organized under Delaware law. Some provisions of Delaware law may delay or prevent a transaction that would cause a change in our control.</w:t>
      </w:r>
    </w:p>
    <w:p>
      <w:pPr>
        <w:spacing w:after="0" w:line="200"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i w:val="1"/>
          <w:iCs w:val="1"/>
          <w:color w:val="auto"/>
        </w:rPr>
        <w:t>Other Provisions of Our Operating Agreement</w:t>
      </w:r>
    </w:p>
    <w:p>
      <w:pPr>
        <w:spacing w:after="0" w:line="234"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Our operating agreement provides that our board shall consist of not fewer than three and not more than nine directors as the board of directors may from time to time determine, subject to the consent rights of the Consenting Entities described under “—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186" w:lineRule="exact"/>
        <w:rPr>
          <w:sz w:val="20"/>
          <w:szCs w:val="20"/>
          <w:color w:val="auto"/>
        </w:rPr>
      </w:pPr>
    </w:p>
    <w:p>
      <w:pPr>
        <w:ind w:right="220" w:firstLine="324"/>
        <w:spacing w:after="0"/>
        <w:rPr>
          <w:sz w:val="20"/>
          <w:szCs w:val="20"/>
          <w:color w:val="auto"/>
        </w:rPr>
      </w:pPr>
      <w:r>
        <w:rPr>
          <w:rFonts w:ascii="Arial" w:cs="Arial" w:eastAsia="Arial" w:hAnsi="Arial"/>
          <w:sz w:val="22"/>
          <w:szCs w:val="22"/>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213"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In addition, our operating agreement provides that any director or the entire board of directors may be removed, with or without cause, at any time, by holders of a majority of the total combined voting power of all of our outstanding Class A shares and Class B shares then entitled to vote at an election of directors.</w:t>
      </w:r>
    </w:p>
    <w:p>
      <w:pPr>
        <w:spacing w:after="0" w:line="213"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213"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Pursuant to our operating agreement, preferred shares may be issued from time to time, and the board of directors is authorized to determine and alter all designations, preferences, rights, powers and duties without limitation. See “Description of Shares— Preferred Shares.” Our operating agreement does not provide our shareholders with the ability to call a special meeting of the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Ability of Our Shareholders to Act</w:t>
      </w:r>
    </w:p>
    <w:p>
      <w:pPr>
        <w:spacing w:after="0" w:line="233" w:lineRule="exact"/>
        <w:rPr>
          <w:sz w:val="20"/>
          <w:szCs w:val="20"/>
          <w:color w:val="auto"/>
        </w:rPr>
      </w:pPr>
    </w:p>
    <w:p>
      <w:pPr>
        <w:ind w:right="20" w:firstLine="324"/>
        <w:spacing w:after="0" w:line="249" w:lineRule="auto"/>
        <w:rPr>
          <w:sz w:val="20"/>
          <w:szCs w:val="20"/>
          <w:color w:val="auto"/>
        </w:rPr>
      </w:pPr>
      <w:r>
        <w:rPr>
          <w:rFonts w:ascii="Arial" w:cs="Arial" w:eastAsia="Arial" w:hAnsi="Arial"/>
          <w:sz w:val="21"/>
          <w:szCs w:val="21"/>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206" w:lineRule="exact"/>
        <w:rPr>
          <w:sz w:val="20"/>
          <w:szCs w:val="20"/>
          <w:color w:val="auto"/>
        </w:rPr>
      </w:pPr>
    </w:p>
    <w:p>
      <w:pPr>
        <w:ind w:right="380" w:firstLine="324"/>
        <w:spacing w:after="0" w:line="251" w:lineRule="auto"/>
        <w:rPr>
          <w:sz w:val="20"/>
          <w:szCs w:val="20"/>
          <w:color w:val="auto"/>
        </w:rPr>
      </w:pPr>
      <w:r>
        <w:rPr>
          <w:rFonts w:ascii="Arial" w:cs="Arial" w:eastAsia="Arial" w:hAnsi="Arial"/>
          <w:sz w:val="22"/>
          <w:szCs w:val="22"/>
          <w:color w:val="auto"/>
        </w:rPr>
        <w:t>Our operating agreement also prohibits our shareholders from consenting in writing to take any action in lieu of taking such action at a duly called annual or special meeting of our shareholders.</w:t>
      </w:r>
    </w:p>
    <w:p>
      <w:pPr>
        <w:spacing w:after="0" w:line="200"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 xml:space="preserve">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ectPr>
          <w:pgSz w:w="11900" w:h="16838" w:orient="portrait"/>
          <w:cols w:equalWidth="0" w:num="1">
            <w:col w:w="11420"/>
          </w:cols>
          <w:pgMar w:left="240" w:top="118"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Removal of Members of Our Board of Directors</w:t>
      </w:r>
    </w:p>
    <w:p>
      <w:pPr>
        <w:spacing w:after="0" w:line="240"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A director or the entire board of directors may be removed, with or without cause, at any time, by holders of at least 80% of the total combined voting power of all of our outstanding Class A shares and Class B shares then entitled to vote at an election of directors. The vacancy in the board of directors caused by any such removal would be filled by a vote of the majority of directors then in office.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Liability</w:t>
      </w:r>
    </w:p>
    <w:p>
      <w:pPr>
        <w:spacing w:after="0" w:line="239"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Forum Selection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operating agreement provides that unless we consent in writing to the selection of an alternative forum, the Court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Chancery of the State of Delaware will, to the fullest extent permitted by applicable law, be the sole and exclusive forum for:</w:t>
      </w:r>
    </w:p>
    <w:p>
      <w:pPr>
        <w:spacing w:after="0" w:line="2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shareholders;</w:t>
      </w:r>
    </w:p>
    <w:p>
      <w:pPr>
        <w:spacing w:after="0" w:line="263"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197"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4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Our operating agreement also provides that any person or entity purchasing or otherwise acquiring any interest in our shares is deemed to have notice of, and to have consented to, this forum selection provision.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Consent Rights</w:t>
      </w:r>
    </w:p>
    <w:p>
      <w:pPr>
        <w:spacing w:after="0" w:line="240" w:lineRule="exact"/>
        <w:rPr>
          <w:sz w:val="20"/>
          <w:szCs w:val="20"/>
          <w:color w:val="auto"/>
        </w:rPr>
      </w:pPr>
    </w:p>
    <w:p>
      <w:pPr>
        <w:jc w:val="both"/>
        <w:ind w:right="260" w:firstLine="324"/>
        <w:spacing w:after="0" w:line="287" w:lineRule="auto"/>
        <w:rPr>
          <w:sz w:val="20"/>
          <w:szCs w:val="20"/>
          <w:color w:val="auto"/>
        </w:rPr>
      </w:pPr>
      <w:r>
        <w:rPr>
          <w:rFonts w:ascii="Arial" w:cs="Arial" w:eastAsia="Arial" w:hAnsi="Arial"/>
          <w:sz w:val="19"/>
          <w:szCs w:val="19"/>
          <w:color w:val="auto"/>
        </w:rPr>
        <w:t>So long as the Consenting Entities and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177" w:lineRule="exact"/>
        <w:rPr>
          <w:sz w:val="20"/>
          <w:szCs w:val="20"/>
          <w:color w:val="auto"/>
        </w:rPr>
      </w:pPr>
    </w:p>
    <w:p>
      <w:pPr>
        <w:ind w:left="660" w:right="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the date of our operating agreement;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terminating Wesley Edens as our chief executive officer or as Chairman of the Board of Directors and hiring or appointing his successor;</w:t>
      </w:r>
    </w:p>
    <w:p>
      <w:pPr>
        <w:spacing w:after="0" w:line="263"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increase or decrease in the size of the Board of Directors, committees of the Board of Directors and board and committees of our subsidiaries;</w:t>
      </w:r>
    </w:p>
    <w:p>
      <w:pPr>
        <w:spacing w:after="0" w:line="275"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Opportunity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Under our operating agreement, to the extent permitted by law:</w:t>
      </w:r>
    </w:p>
    <w:p>
      <w:pPr>
        <w:spacing w:after="0" w:line="240" w:lineRule="exact"/>
        <w:rPr>
          <w:sz w:val="20"/>
          <w:szCs w:val="20"/>
          <w:color w:val="auto"/>
        </w:rPr>
      </w:pPr>
    </w:p>
    <w:p>
      <w:pPr>
        <w:ind w:left="6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NFEH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150" w:lineRule="exact"/>
        <w:rPr>
          <w:rFonts w:ascii="Arial" w:cs="Arial" w:eastAsia="Arial" w:hAnsi="Arial"/>
          <w:sz w:val="16"/>
          <w:szCs w:val="16"/>
          <w:color w:val="auto"/>
        </w:rPr>
      </w:pPr>
    </w:p>
    <w:p>
      <w:pPr>
        <w:ind w:left="660" w:right="44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NFEH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252"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the event that any of our directors and officers who is also a director, officer or employee of NFEH and their respective affiliates acquire knowledge of a corporate opportunity or is offered a corporate opportunity,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NFEH and their respective affiliates pursues or acquires the corporate opportunity or if such person did not present the corporate opportunity to 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22"/>
          <w:szCs w:val="22"/>
          <w:b w:val="1"/>
          <w:bCs w:val="1"/>
          <w:color w:val="auto"/>
        </w:rPr>
        <w:t>PLAN OF DISTRIBUTION</w:t>
      </w:r>
    </w:p>
    <w:p>
      <w:pPr>
        <w:spacing w:after="0" w:line="24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We or the selling securityholders may sell the securities being offered hereby in one or more of the following ways from time to time:</w:t>
      </w:r>
    </w:p>
    <w:p>
      <w:pPr>
        <w:spacing w:after="0" w:line="20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underwriters for resale to purchasers;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 or dealers to purchasers;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“at-the market” offerings (as defined in Rule 415 under the Securities Act of 1933);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combination of any of these methods;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a prospectus supplement.</w:t>
      </w:r>
    </w:p>
    <w:p>
      <w:pPr>
        <w:spacing w:after="0" w:line="245" w:lineRule="exact"/>
        <w:rPr>
          <w:sz w:val="20"/>
          <w:szCs w:val="20"/>
          <w:color w:val="auto"/>
        </w:rPr>
      </w:pPr>
    </w:p>
    <w:p>
      <w:pPr>
        <w:ind w:right="100" w:firstLine="324"/>
        <w:spacing w:after="0" w:line="247" w:lineRule="auto"/>
        <w:rPr>
          <w:sz w:val="20"/>
          <w:szCs w:val="20"/>
          <w:color w:val="auto"/>
        </w:rPr>
      </w:pPr>
      <w:r>
        <w:rPr>
          <w:rFonts w:ascii="Arial" w:cs="Arial" w:eastAsia="Arial" w:hAnsi="Arial"/>
          <w:sz w:val="21"/>
          <w:szCs w:val="21"/>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will identify the specific plan of distribution in a prospectus supplement, including:</w:t>
      </w:r>
    </w:p>
    <w:p>
      <w:pPr>
        <w:spacing w:after="0" w:line="24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names of the underwriters, dealers, agents or direct purchasers and their compensation;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of the securities and the net proceeds we will receive from the sale;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delayed delivery obligations to take the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of the underwriters’ obligations to take the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Underwriters, dealers and agents</w:t>
      </w:r>
    </w:p>
    <w:p>
      <w:pPr>
        <w:spacing w:after="0" w:line="239" w:lineRule="exact"/>
        <w:rPr>
          <w:sz w:val="20"/>
          <w:szCs w:val="20"/>
          <w:color w:val="auto"/>
        </w:rPr>
      </w:pPr>
    </w:p>
    <w:p>
      <w:pPr>
        <w:ind w:right="120" w:firstLine="324"/>
        <w:spacing w:after="0" w:line="274" w:lineRule="auto"/>
        <w:rPr>
          <w:sz w:val="20"/>
          <w:szCs w:val="20"/>
          <w:color w:val="auto"/>
        </w:rPr>
      </w:pPr>
      <w:r>
        <w:rPr>
          <w:rFonts w:ascii="Arial" w:cs="Arial" w:eastAsia="Arial" w:hAnsi="Arial"/>
          <w:sz w:val="19"/>
          <w:szCs w:val="19"/>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9" w:name="page30"/>
    <w:bookmarkEnd w:id="29"/>
    <w:p>
      <w:pPr>
        <w:ind w:right="240" w:firstLine="324"/>
        <w:spacing w:after="0" w:line="241" w:lineRule="auto"/>
        <w:rPr>
          <w:sz w:val="20"/>
          <w:szCs w:val="20"/>
          <w:color w:val="auto"/>
        </w:rPr>
      </w:pPr>
      <w:r>
        <w:rPr>
          <w:rFonts w:ascii="Arial" w:cs="Arial" w:eastAsia="Arial" w:hAnsi="Arial"/>
          <w:sz w:val="22"/>
          <w:szCs w:val="22"/>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211"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213" w:lineRule="exact"/>
        <w:rPr>
          <w:sz w:val="20"/>
          <w:szCs w:val="20"/>
          <w:color w:val="auto"/>
        </w:rPr>
      </w:pPr>
    </w:p>
    <w:p>
      <w:pPr>
        <w:ind w:right="220" w:firstLine="324"/>
        <w:spacing w:after="0" w:line="282" w:lineRule="auto"/>
        <w:rPr>
          <w:sz w:val="20"/>
          <w:szCs w:val="20"/>
          <w:color w:val="auto"/>
        </w:rPr>
      </w:pPr>
      <w:r>
        <w:rPr>
          <w:rFonts w:ascii="Arial" w:cs="Arial" w:eastAsia="Arial" w:hAnsi="Arial"/>
          <w:sz w:val="19"/>
          <w:szCs w:val="19"/>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175" w:lineRule="exact"/>
        <w:rPr>
          <w:sz w:val="20"/>
          <w:szCs w:val="20"/>
          <w:color w:val="auto"/>
        </w:rPr>
      </w:pPr>
    </w:p>
    <w:p>
      <w:pPr>
        <w:ind w:right="180" w:firstLine="324"/>
        <w:spacing w:after="0" w:line="251" w:lineRule="auto"/>
        <w:rPr>
          <w:sz w:val="20"/>
          <w:szCs w:val="20"/>
          <w:color w:val="auto"/>
        </w:rPr>
      </w:pPr>
      <w:r>
        <w:rPr>
          <w:rFonts w:ascii="Arial" w:cs="Arial" w:eastAsia="Arial" w:hAnsi="Arial"/>
          <w:sz w:val="22"/>
          <w:szCs w:val="22"/>
          <w:color w:val="auto"/>
        </w:rPr>
        <w:t>Underwriters, dealers or agents and their associates may engage in other transactions with and perform other services for us in the ordinary course of business.</w:t>
      </w:r>
    </w:p>
    <w:p>
      <w:pPr>
        <w:spacing w:after="0" w:line="200" w:lineRule="exact"/>
        <w:rPr>
          <w:sz w:val="20"/>
          <w:szCs w:val="20"/>
          <w:color w:val="auto"/>
        </w:rPr>
      </w:pPr>
    </w:p>
    <w:p>
      <w:pPr>
        <w:ind w:right="120" w:firstLine="324"/>
        <w:spacing w:after="0" w:line="248" w:lineRule="auto"/>
        <w:rPr>
          <w:sz w:val="20"/>
          <w:szCs w:val="20"/>
          <w:color w:val="auto"/>
        </w:rPr>
      </w:pPr>
      <w:r>
        <w:rPr>
          <w:rFonts w:ascii="Arial" w:cs="Arial" w:eastAsia="Arial" w:hAnsi="Arial"/>
          <w:sz w:val="21"/>
          <w:szCs w:val="21"/>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 sales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may sell securities directly to one or more purchasers without using underwriters or agents.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At-the-market offerings</w:t>
      </w:r>
    </w:p>
    <w:p>
      <w:pPr>
        <w:spacing w:after="0" w:line="239"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Trading markets and listing of securities</w:t>
      </w:r>
    </w:p>
    <w:p>
      <w:pPr>
        <w:spacing w:after="0" w:line="239" w:lineRule="exact"/>
        <w:rPr>
          <w:sz w:val="20"/>
          <w:szCs w:val="20"/>
          <w:color w:val="auto"/>
        </w:rPr>
      </w:pPr>
    </w:p>
    <w:p>
      <w:pPr>
        <w:ind w:right="120" w:firstLine="324"/>
        <w:spacing w:after="0" w:line="235" w:lineRule="auto"/>
        <w:rPr>
          <w:sz w:val="20"/>
          <w:szCs w:val="20"/>
          <w:color w:val="auto"/>
        </w:rPr>
      </w:pPr>
      <w:r>
        <w:rPr>
          <w:rFonts w:ascii="Arial" w:cs="Arial" w:eastAsia="Arial" w:hAnsi="Arial"/>
          <w:sz w:val="22"/>
          <w:szCs w:val="22"/>
          <w:color w:val="auto"/>
        </w:rPr>
        <w:t>Unless otherwise specified in the applicable prospectus supplement, each class or series of securities will be a new issue with no established trading market, other than our Class A shares, which are listed on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Stabilization activities</w:t>
      </w:r>
    </w:p>
    <w:p>
      <w:pPr>
        <w:spacing w:after="0" w:line="239"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ectPr>
          <w:pgSz w:w="11900" w:h="16838" w:orient="portrait"/>
          <w:cols w:equalWidth="0" w:num="1">
            <w:col w:w="11420"/>
          </w:cols>
          <w:pgMar w:left="240" w:top="118"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0" w:name="page31"/>
    <w:bookmarkEnd w:id="30"/>
    <w:p>
      <w:pPr>
        <w:ind w:firstLine="324"/>
        <w:spacing w:after="0" w:line="275" w:lineRule="auto"/>
        <w:rPr>
          <w:sz w:val="20"/>
          <w:szCs w:val="20"/>
          <w:color w:val="auto"/>
        </w:rPr>
      </w:pPr>
      <w:r>
        <w:rPr>
          <w:rFonts w:ascii="Arial" w:cs="Arial" w:eastAsia="Arial" w:hAnsi="Arial"/>
          <w:sz w:val="19"/>
          <w:szCs w:val="19"/>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Global Select Market or otherwise and, if commenced, may be discontinued at any time.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U.S. FEDERAL INCOME TAX CONSIDERATIONS FOR NON-U.S. HOLDERS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A SHARES</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 following is a summary of U.S. federal income considerations generally applicable to non-U.S. holders (as defined below) of the ownership and disposition of our Class A shares.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shares, a tax-exempt organization, a bank or other financial institution, a broker, dealer or trader in securities, commodities or currencies, a person holding our Class A shares as part of a hedging, conversion, straddle, constructive sale or other risk reduction transaction or an insurance company. Tax consequences may vary depending upon the particular status of an investor. The summary is limited to non-U.S. holders who purchase our Class A shares for cash pursuant to an offering under this prospectus and who hold our Class A shares as a “capital asset“(generally, property held for investment). Each potential investor should consult its tax advisor as to the U.S. federal, state, local, foreign and any other tax consequences of the purchase, ownership and disposition of our Class A shares.</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For purposes of this summary, the term “non-U.S. holder” means a beneficial owner of our Class A shares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If a partnership (including any entity or arrangement treated as a partnership for U.S. federal income tax purposes) holds our Class A shares, the tax treatment of a partner in the partnership will generally depend upon the status of the partner and the activities of the partnership. If you are a partnership or a partner in a partnership holding our Class A shares, you should consult your tax advisor as to the particular U.S. federal income tax consequences applicable to you.</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3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Distributions with respect to our Class A shares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shares and thereafter as capital gain from the sale or exchange of such Class A shares,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shares are not then treated as regularly traded on an established securities market or the non-U.S. holder owns in excess of 5% of our Class A shares.</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Generally, distributions treated as dividends paid to a non-U.S. holder with respect to our Class A shares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jc w:val="both"/>
        <w:ind w:firstLine="324"/>
        <w:spacing w:after="0" w:line="282" w:lineRule="auto"/>
        <w:rPr>
          <w:sz w:val="20"/>
          <w:szCs w:val="20"/>
          <w:color w:val="auto"/>
        </w:rPr>
      </w:pPr>
      <w:r>
        <w:rPr>
          <w:rFonts w:ascii="Arial" w:cs="Arial" w:eastAsia="Arial" w:hAnsi="Arial"/>
          <w:sz w:val="19"/>
          <w:szCs w:val="19"/>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w:t>
      </w:r>
    </w:p>
    <w:p>
      <w:pPr>
        <w:spacing w:after="0" w:line="239"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A non-U.S. holder generally will not be subject to U.S. federal income or withholding tax with respect to gain realized on the sale, exchange or other disposition of our Class A shares unless:</w:t>
      </w:r>
    </w:p>
    <w:p>
      <w:pPr>
        <w:spacing w:after="0" w:line="207"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197"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("USRPHC") at any time within the shorter of the five-year period ending on the date of such sale, exchange, or other taxable disposition or the period that such non-U.S. holder held our Class A shares and either (a) our Class A shares were not treated as regularly traded on an established securities market at the time of the sale, or (b) such non-U.S. holder owns or owned (actually or constructively) more than 5% of our Class A shares at any time during the shorter of the two periods mentioned above.</w:t>
      </w:r>
    </w:p>
    <w:p>
      <w:pPr>
        <w:spacing w:after="0" w:line="17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If gain or loss on the disposition of our Class A shares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shares, which may be offset by certain U.S. source capital losses.</w:t>
      </w:r>
    </w:p>
    <w:p>
      <w:pPr>
        <w:spacing w:after="0" w:line="1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shares will be treated as "regularly traded on an established securities market" following this offering, no assurance can be given that our Class A shares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24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Information returns are required to be filed with the Internal Revenue Service in connection with payments of dividends on our Class A shares. Unless you comply with certification procedures to establish that you are not a U.S. person, information returns may also be filed with the Internal Revenue Service in connection with the proceeds from a sale or other disposition of our Class A shares. You may be subject to backup withholding on payments on our Class A shares or on the proceeds from a sale or other disposition of our Class A shares unless you comply with certification procedures to establish that you are not a U.S. person or otherwise establish an exemption. Your provision of a properly executed applicable Internal Revenue Service Form W-8 certifying your non-U.S. status will generally permit you to avoid backup withholding. Amounts withheld under the backup withholding rules are not additional taxes and may be refunded or credited against your U.S. federal income tax liability, provided the required information is timely furnished to the Internal Revenue Service.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Account Tax Compliance Act</w:t>
      </w:r>
    </w:p>
    <w:p>
      <w:pPr>
        <w:spacing w:after="0" w:line="239" w:lineRule="exact"/>
        <w:rPr>
          <w:sz w:val="20"/>
          <w:szCs w:val="20"/>
          <w:color w:val="auto"/>
        </w:rPr>
      </w:pPr>
    </w:p>
    <w:p>
      <w:pPr>
        <w:ind w:right="80" w:firstLine="324"/>
        <w:spacing w:after="0" w:line="271" w:lineRule="auto"/>
        <w:rPr>
          <w:sz w:val="20"/>
          <w:szCs w:val="20"/>
          <w:color w:val="auto"/>
        </w:rPr>
      </w:pPr>
      <w:r>
        <w:rPr>
          <w:rFonts w:ascii="Arial" w:cs="Arial" w:eastAsia="Arial" w:hAnsi="Arial"/>
          <w:sz w:val="19"/>
          <w:szCs w:val="19"/>
          <w:color w:val="auto"/>
        </w:rPr>
        <w:t>Legislation enacted in 2010 and existing guidance issued thereunder require withholding at a rate of 30% on dividends in respect of our Class A shares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shares are held will affect the determination of whether such withholding is required. Similarly, dividends in respect of our Class A shares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shares.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2"/>
          <w:szCs w:val="22"/>
          <w:b w:val="1"/>
          <w:bCs w:val="1"/>
          <w:color w:val="auto"/>
        </w:rPr>
        <w:t>ERISA CONSIDERATIONS</w:t>
      </w:r>
    </w:p>
    <w:p>
      <w:pPr>
        <w:spacing w:after="0" w:line="240"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The following is a general summary of certain considerations associated with the acquisition and holding of securities offered hereunder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w:t>
      </w:r>
    </w:p>
    <w:p>
      <w:pPr>
        <w:spacing w:after="0" w:line="4" w:lineRule="exact"/>
        <w:rPr>
          <w:sz w:val="20"/>
          <w:szCs w:val="20"/>
          <w:color w:val="auto"/>
        </w:rPr>
      </w:pPr>
    </w:p>
    <w:p>
      <w:pPr>
        <w:ind w:right="20" w:firstLine="8"/>
        <w:spacing w:after="0" w:line="233" w:lineRule="auto"/>
        <w:tabs>
          <w:tab w:leader="none" w:pos="306" w:val="left"/>
        </w:tabs>
        <w:numPr>
          <w:ilvl w:val="0"/>
          <w:numId w:val="27"/>
        </w:numPr>
        <w:rPr>
          <w:rFonts w:ascii="Arial" w:cs="Arial" w:eastAsia="Arial" w:hAnsi="Arial"/>
          <w:sz w:val="22"/>
          <w:szCs w:val="22"/>
          <w:color w:val="auto"/>
        </w:rPr>
      </w:pPr>
      <w:r>
        <w:rPr>
          <w:rFonts w:ascii="Arial" w:cs="Arial" w:eastAsia="Arial" w:hAnsi="Arial"/>
          <w:sz w:val="22"/>
          <w:szCs w:val="22"/>
          <w:color w:val="auto"/>
        </w:rPr>
        <w:t>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215"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securityholders offer, issue or sell securities, we will provide a supplement to this prospectus that may contain supplemental information to this summary.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Fiduciary Matters</w:t>
      </w:r>
    </w:p>
    <w:p>
      <w:pPr>
        <w:spacing w:after="0" w:line="239"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We and our affiliates will not act in a fiduciary capacity with respect to any Plan's investment in our securities.</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17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investment is permitted under the terms of the applicable documents governing the Plan;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in the future there may be no market in which to sell or otherwise dispose of the security;</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acquisition or holding of such security will constitute a “prohibited transaction” under Section 406 of ERISA or Section 4975 of the Code (please see discussion under “—Prohibited Transaction Issues” below); and</w:t>
      </w:r>
    </w:p>
    <w:p>
      <w:pPr>
        <w:spacing w:after="0" w:line="197"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Plan will be considered to hold, as plan assets, (i) only such security or (ii) an undivided interest in our underlying assets (please see the discussion under “—Plan Asset Issues” below).</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Prohibited Transaction Issues</w:t>
      </w:r>
    </w:p>
    <w:p>
      <w:pPr>
        <w:spacing w:after="0" w:line="240"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our securities by an ERISA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186"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Asset Issues</w:t>
      </w:r>
    </w:p>
    <w:p>
      <w:pPr>
        <w:spacing w:after="0" w:line="239"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Additionally, a fiduciary of a Plan should consider whether the Plan will, by investing in our equity securities ,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212"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The Department of Labor (the “DOL”) regulations, as modified by Section 3(42) of ERISA (the "Plan Asset Regulation") provide guidance with respect to whether the assets of an entity in which ERISA Plans acquire equity interests would be deemed “plan assets” under some circumstances. Under the Plan Asset Regulation, an entity’s assets generally would not be considered to be “plan assets” if, among other things:</w:t>
      </w:r>
    </w:p>
    <w:p>
      <w:pPr>
        <w:spacing w:after="0" w:line="219" w:lineRule="exact"/>
        <w:rPr>
          <w:sz w:val="20"/>
          <w:szCs w:val="20"/>
          <w:color w:val="auto"/>
        </w:rPr>
      </w:pPr>
    </w:p>
    <w:p>
      <w:pPr>
        <w:ind w:left="1000" w:hanging="317"/>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213"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197" w:lineRule="exact"/>
        <w:rPr>
          <w:rFonts w:ascii="Arial" w:cs="Arial" w:eastAsia="Arial" w:hAnsi="Arial"/>
          <w:sz w:val="18"/>
          <w:szCs w:val="18"/>
          <w:color w:val="auto"/>
        </w:rPr>
      </w:pPr>
    </w:p>
    <w:p>
      <w:pPr>
        <w:ind w:left="1000" w:right="20" w:hanging="317"/>
        <w:spacing w:after="0" w:line="273"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19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9"/>
          <w:szCs w:val="19"/>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applicable to the investment in such securities .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22"/>
          <w:szCs w:val="22"/>
          <w:b w:val="1"/>
          <w:bCs w:val="1"/>
          <w:color w:val="auto"/>
        </w:rPr>
        <w:t>LEGAL MATTERS</w:t>
      </w:r>
    </w:p>
    <w:p>
      <w:pPr>
        <w:spacing w:after="0" w:line="240"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EXPERTS</w:t>
      </w:r>
    </w:p>
    <w:p>
      <w:pPr>
        <w:spacing w:after="0" w:line="239"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Ernst &amp; Young LLP (“E&amp;Y”), independent registered public accounting firm, has audited our consolidated financial statements included in our Annual Report on Form 10-K for the year ended December 31, 2019, as set forth in their report, which is incorporated by reference in this prospectus. Our financial statements are incorporated by reference in reliance on E&amp;Y’s report, given on their authority as experts in accounting and auditing.</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37" w:name="page38"/>
    <w:bookmarkEnd w:id="37"/>
    <w:p>
      <w:pPr>
        <w:ind w:left="2740"/>
        <w:spacing w:after="0"/>
        <w:rPr>
          <w:sz w:val="20"/>
          <w:szCs w:val="20"/>
          <w:color w:val="auto"/>
        </w:rPr>
      </w:pPr>
      <w:r>
        <w:rPr>
          <w:rFonts w:ascii="Arial" w:cs="Arial" w:eastAsia="Arial" w:hAnsi="Arial"/>
          <w:sz w:val="22"/>
          <w:szCs w:val="22"/>
          <w:b w:val="1"/>
          <w:bCs w:val="1"/>
          <w:color w:val="auto"/>
        </w:rPr>
        <w:t>PART II INFORMATION NOT REQUIRED IN PROSPECTUS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14.Other Expenses of Issuance and Distribution.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expenses relating to the registration of the securities will be borne by the registrant.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FINRA Filing Fee</w:t>
            </w:r>
          </w:p>
        </w:tc>
        <w:tc>
          <w:tcPr>
            <w:tcW w:w="3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Transfer Agents and Trustees’ Fees and Expenses</w:t>
            </w:r>
          </w:p>
        </w:tc>
        <w:tc>
          <w:tcPr>
            <w:tcW w:w="3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3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747,200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15.Indemnification of Directors and Officers.</w:t>
      </w:r>
    </w:p>
    <w:p>
      <w:pPr>
        <w:spacing w:after="0" w:line="24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NFE is a Delaware limited liability company. Section 18-108 of the Delaware LLC Act provides that, subject to a company’s limited liability company agreement, a limited liability company may indemnify any member or manager or other person from and against any and all claims and demands whatsoever. Our operating agreement, which is filed as an exhibit hereto, provides that we will generally indemnify officers, members of our board of directors and other specified indemnitees to the fullest extent permitted by law against all losses, claims, damages or similar events. Such indemnification and advancement of expenses shall inure to the benefit of the heirs, executors and administrators of any person entitled to indemnification.</w:t>
      </w:r>
    </w:p>
    <w:p>
      <w:pPr>
        <w:spacing w:after="0" w:line="178" w:lineRule="exact"/>
        <w:rPr>
          <w:sz w:val="20"/>
          <w:szCs w:val="20"/>
          <w:color w:val="auto"/>
        </w:rPr>
      </w:pPr>
    </w:p>
    <w:p>
      <w:pPr>
        <w:ind w:right="340" w:firstLine="324"/>
        <w:spacing w:after="0" w:line="282" w:lineRule="auto"/>
        <w:rPr>
          <w:sz w:val="20"/>
          <w:szCs w:val="20"/>
          <w:color w:val="auto"/>
        </w:rPr>
      </w:pPr>
      <w:r>
        <w:rPr>
          <w:rFonts w:ascii="Arial" w:cs="Arial" w:eastAsia="Arial" w:hAnsi="Arial"/>
          <w:sz w:val="19"/>
          <w:szCs w:val="19"/>
          <w:color w:val="auto"/>
        </w:rPr>
        <w:t xml:space="preserve">Each of the persons entitled to be indemnified for expenses and liabilities as contemplated above may, in the performance of his, her or its duties, consult with legal counsel and accountants, and any act or omission by such person on behalf of NFE in furtherance of the interests of NFE in good faith in reliance upon, and in accordance with, the advice of such legal counsel or accountants will be full justification for any such act or omission, and such person will be fully protected for such acts and omissions;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legal counsel or accountants were selected with reasonable care by or on behalf of NFE.</w:t>
      </w:r>
    </w:p>
    <w:p>
      <w:pPr>
        <w:spacing w:after="0" w:line="175" w:lineRule="exact"/>
        <w:rPr>
          <w:sz w:val="20"/>
          <w:szCs w:val="20"/>
          <w:color w:val="auto"/>
        </w:rPr>
      </w:pPr>
    </w:p>
    <w:p>
      <w:pPr>
        <w:ind w:right="360" w:firstLine="324"/>
        <w:spacing w:after="0" w:line="238" w:lineRule="auto"/>
        <w:rPr>
          <w:sz w:val="20"/>
          <w:szCs w:val="20"/>
          <w:color w:val="auto"/>
        </w:rPr>
      </w:pPr>
      <w:r>
        <w:rPr>
          <w:rFonts w:ascii="Arial" w:cs="Arial" w:eastAsia="Arial" w:hAnsi="Arial"/>
          <w:sz w:val="22"/>
          <w:szCs w:val="22"/>
          <w:color w:val="auto"/>
        </w:rPr>
        <w:t>We have entered into indemnification agreements with our directors and executive officers. The indemnification agreements require, among other things, that we indemnify our directors and executive officers to the fullest extent permitted by law and advance our directors and executive officers all related expenses, subject to reimbursement if it is subsequently determined that indemnification is not permitted.</w:t>
      </w:r>
    </w:p>
    <w:p>
      <w:pPr>
        <w:spacing w:after="0" w:line="212"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color w:val="auto"/>
        </w:rPr>
        <w:t>We currently maintain an insurance policy on behalf of our directors and officers against any liability asserted against them or which they incur acting in such capacity or arising out of their status as directors or officers.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16.List of Exhibits.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Exhibits to this registration statement are listed in the Exhibit Index on page II- 2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6"/>
              </w:rPr>
              <w:t>Exhibit</w:t>
            </w: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No.</w:t>
            </w:r>
          </w:p>
        </w:tc>
        <w:tc>
          <w:tcPr>
            <w:tcW w:w="10500" w:type="dxa"/>
            <w:vAlign w:val="bottom"/>
          </w:tcPr>
          <w:p>
            <w:pPr>
              <w:ind w:left="4360"/>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10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w w:val="94"/>
              </w:rPr>
              <w:t>Certificate of Formation of New Fortress Energy LLC (incorporated by reference to Exhibit 3.1 to NFE’s Registration Statement on Form S-1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 No. 333-228339), filed with the SEC on November 9,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Certificate of Amendment to Certificate of Formation of New Fortress Energy LLC (incorporated by reference to Exhibit 3.2 to NFE’s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S-1 (File No. 333-228339), filed with the SEC on November 9,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w w:val="95"/>
              </w:rPr>
              <w:t>First Amended and Restated Limited Liability Company Agreement of New Fortress Energy LLC, dated February 4, 2019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to Exhibit 3.1 to NFE’s Form 8-K (File No. 001-38790), filed with the SEC on February 5,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w w:val="97"/>
              </w:rPr>
              <w:t>3.4</w:t>
            </w:r>
            <w:r>
              <w:rPr>
                <w:rFonts w:ascii="Arial" w:cs="Arial" w:eastAsia="Arial" w:hAnsi="Arial"/>
                <w:sz w:val="25"/>
                <w:szCs w:val="25"/>
                <w:color w:val="auto"/>
                <w:w w:val="97"/>
                <w:vertAlign w:val="superscript"/>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Form of certificate representing preferred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gridSpan w:val="2"/>
          </w:tcPr>
          <w:p>
            <w:pPr>
              <w:spacing w:after="0" w:line="216" w:lineRule="exact"/>
              <w:rPr>
                <w:sz w:val="20"/>
                <w:szCs w:val="20"/>
                <w:color w:val="auto"/>
              </w:rPr>
            </w:pPr>
            <w:r>
              <w:rPr>
                <w:rFonts w:ascii="Arial" w:cs="Arial" w:eastAsia="Arial" w:hAnsi="Arial"/>
                <w:sz w:val="16"/>
                <w:szCs w:val="16"/>
                <w:color w:val="auto"/>
                <w:w w:val="97"/>
              </w:rPr>
              <w:t>4.1</w:t>
            </w:r>
            <w:r>
              <w:rPr>
                <w:rFonts w:ascii="Arial" w:cs="Arial" w:eastAsia="Arial" w:hAnsi="Arial"/>
                <w:sz w:val="25"/>
                <w:szCs w:val="25"/>
                <w:color w:val="auto"/>
                <w:w w:val="97"/>
                <w:vertAlign w:val="superscript"/>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Depositary Agreement (including form of Depositary Receipt).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Form of Indenture for debt securities between the registrant and the trustee to be named therein.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gridSpan w:val="2"/>
          </w:tcPr>
          <w:p>
            <w:pPr>
              <w:spacing w:after="0" w:line="216" w:lineRule="exact"/>
              <w:rPr>
                <w:sz w:val="20"/>
                <w:szCs w:val="20"/>
                <w:color w:val="auto"/>
              </w:rPr>
            </w:pPr>
            <w:r>
              <w:rPr>
                <w:rFonts w:ascii="Arial" w:cs="Arial" w:eastAsia="Arial" w:hAnsi="Arial"/>
                <w:sz w:val="16"/>
                <w:szCs w:val="16"/>
                <w:color w:val="auto"/>
                <w:w w:val="97"/>
              </w:rPr>
              <w:t>4.3</w:t>
            </w:r>
            <w:r>
              <w:rPr>
                <w:rFonts w:ascii="Arial" w:cs="Arial" w:eastAsia="Arial" w:hAnsi="Arial"/>
                <w:sz w:val="25"/>
                <w:szCs w:val="25"/>
                <w:color w:val="auto"/>
                <w:w w:val="97"/>
                <w:vertAlign w:val="superscript"/>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Warrant Agreement (including form of Warrant Certificate).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2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Opinion of Skadden, Arps, Slate, Meagher &amp; Flom LLP.</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3"/>
            <w:shd w:val="clear" w:color="auto" w:fill="CCEEFF"/>
          </w:tcPr>
          <w:p>
            <w:pPr>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23.</w:t>
              </w:r>
              <w:r>
                <w:rPr>
                  <w:rFonts w:ascii="Arial" w:cs="Arial" w:eastAsia="Arial" w:hAnsi="Arial"/>
                  <w:sz w:val="18"/>
                  <w:szCs w:val="18"/>
                  <w:u w:val="single" w:color="auto"/>
                  <w:color w:val="0000EE"/>
                </w:rPr>
                <w:t>2</w:t>
              </w:r>
            </w:hyperlink>
          </w:p>
        </w:tc>
        <w:tc>
          <w:tcPr>
            <w:tcW w:w="220" w:type="dxa"/>
            <w:vAlign w:val="bottom"/>
            <w:shd w:val="clear" w:color="auto" w:fill="CCEEFF"/>
          </w:tcPr>
          <w:p>
            <w:pPr>
              <w:spacing w:after="0"/>
              <w:rPr>
                <w:sz w:val="15"/>
                <w:szCs w:val="15"/>
                <w:color w:val="auto"/>
              </w:rPr>
            </w:pPr>
          </w:p>
        </w:tc>
        <w:tc>
          <w:tcPr>
            <w:tcW w:w="10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Consent of Skadden, Arps, Slate, Meagher &amp; Flom LLP (included in Exhibit 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rPr>
              <w:t>Powers of Attorney (included on signature pages hereto).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3"/>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25.</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5"/>
                <w:szCs w:val="15"/>
                <w:color w:val="auto"/>
              </w:rPr>
            </w:pPr>
          </w:p>
        </w:tc>
        <w:tc>
          <w:tcPr>
            <w:tcW w:w="10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Statement of Eligibility on Form T-1 of trustee under the Indenture.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right="360" w:firstLine="332"/>
        <w:spacing w:after="0" w:line="186" w:lineRule="auto"/>
        <w:tabs>
          <w:tab w:leader="none" w:pos="738" w:val="left"/>
        </w:tabs>
        <w:numPr>
          <w:ilvl w:val="0"/>
          <w:numId w:val="30"/>
        </w:numPr>
        <w:rPr>
          <w:rFonts w:ascii="Arial" w:cs="Arial" w:eastAsia="Arial" w:hAnsi="Arial"/>
          <w:sz w:val="36"/>
          <w:szCs w:val="36"/>
          <w:color w:val="auto"/>
          <w:vertAlign w:val="superscript"/>
        </w:rPr>
      </w:pPr>
      <w:r>
        <w:rPr>
          <w:rFonts w:ascii="Arial" w:cs="Arial" w:eastAsia="Arial" w:hAnsi="Arial"/>
          <w:sz w:val="22"/>
          <w:szCs w:val="22"/>
          <w:color w:val="auto"/>
        </w:rPr>
        <w:t>To be filed by amendment to the registration statement or incorporated by reference from documents filed or to be filed with the SEC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18097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17.Undertakings.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undersigned registrant hereby undertakes:</w:t>
      </w:r>
    </w:p>
    <w:p>
      <w:pPr>
        <w:spacing w:after="0" w:line="240"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960" w:right="40" w:hanging="655"/>
        <w:spacing w:after="0" w:line="291"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6"/>
          <w:szCs w:val="16"/>
          <w:color w:val="auto"/>
        </w:rPr>
      </w:pPr>
    </w:p>
    <w:p>
      <w:pPr>
        <w:ind w:left="1960" w:right="40" w:hanging="655"/>
        <w:spacing w:after="0" w:line="277"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0"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644" w:hanging="644"/>
        <w:spacing w:after="0" w:line="264" w:lineRule="auto"/>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644" w:right="420" w:hanging="644"/>
        <w:spacing w:after="0" w:line="277" w:lineRule="auto"/>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197" w:lineRule="exact"/>
        <w:rPr>
          <w:rFonts w:ascii="Arial" w:cs="Arial" w:eastAsia="Arial" w:hAnsi="Arial"/>
          <w:sz w:val="18"/>
          <w:szCs w:val="18"/>
          <w:color w:val="auto"/>
        </w:rPr>
      </w:pPr>
    </w:p>
    <w:p>
      <w:pPr>
        <w:ind w:left="1304" w:right="40" w:hanging="655"/>
        <w:spacing w:after="0" w:line="287"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95" w:lineRule="exact"/>
        <w:rPr>
          <w:rFonts w:ascii="Arial" w:cs="Arial" w:eastAsia="Arial" w:hAnsi="Arial"/>
          <w:sz w:val="16"/>
          <w:szCs w:val="16"/>
          <w:color w:val="auto"/>
        </w:rPr>
      </w:pPr>
    </w:p>
    <w:p>
      <w:pPr>
        <w:ind w:left="644" w:right="60" w:hanging="644"/>
        <w:spacing w:after="0" w:line="276" w:lineRule="auto"/>
        <w:tabs>
          <w:tab w:leader="none" w:pos="64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9" w:lineRule="exact"/>
        <w:rPr>
          <w:rFonts w:ascii="Arial" w:cs="Arial" w:eastAsia="Arial" w:hAnsi="Arial"/>
          <w:sz w:val="17"/>
          <w:szCs w:val="17"/>
          <w:color w:val="auto"/>
        </w:rPr>
      </w:pPr>
    </w:p>
    <w:p>
      <w:pPr>
        <w:ind w:left="1304" w:hanging="655"/>
        <w:spacing w:after="0" w:line="277"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97" w:lineRule="exact"/>
        <w:rPr>
          <w:rFonts w:ascii="Arial" w:cs="Arial" w:eastAsia="Arial" w:hAnsi="Arial"/>
          <w:sz w:val="18"/>
          <w:szCs w:val="18"/>
          <w:color w:val="auto"/>
        </w:rPr>
      </w:pPr>
    </w:p>
    <w:p>
      <w:pPr>
        <w:ind w:left="1304" w:right="60" w:hanging="655"/>
        <w:spacing w:after="0" w:line="277"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7" w:lineRule="exact"/>
        <w:rPr>
          <w:rFonts w:ascii="Arial" w:cs="Arial" w:eastAsia="Arial" w:hAnsi="Arial"/>
          <w:sz w:val="18"/>
          <w:szCs w:val="18"/>
          <w:color w:val="auto"/>
        </w:rPr>
      </w:pPr>
    </w:p>
    <w:p>
      <w:pPr>
        <w:ind w:left="1304" w:right="340" w:hanging="655"/>
        <w:spacing w:after="0" w:line="277"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23" w:lineRule="exact"/>
        <w:rPr>
          <w:sz w:val="20"/>
          <w:szCs w:val="20"/>
          <w:color w:val="auto"/>
        </w:rPr>
      </w:pPr>
    </w:p>
    <w:p>
      <w:pPr>
        <w:ind w:left="4944"/>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125" w:right="259" w:bottom="1440" w:gutter="0" w:footer="0" w:header="0"/>
        </w:sectPr>
      </w:pPr>
    </w:p>
    <w:bookmarkStart w:id="40" w:name="page41"/>
    <w:bookmarkEnd w:id="40"/>
    <w:p>
      <w:pPr>
        <w:ind w:firstLine="324"/>
        <w:spacing w:after="0" w:line="235" w:lineRule="auto"/>
        <w:rPr>
          <w:sz w:val="20"/>
          <w:szCs w:val="20"/>
          <w:color w:val="auto"/>
        </w:rPr>
      </w:pPr>
      <w:r>
        <w:rPr>
          <w:rFonts w:ascii="Arial" w:cs="Arial" w:eastAsia="Arial" w:hAnsi="Arial"/>
          <w:sz w:val="22"/>
          <w:szCs w:val="22"/>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6"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9"/>
          <w:szCs w:val="19"/>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New York, State of New York on March 5 , 2020.</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Wesley R. Edens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Chief Executive Officer</w:t>
      </w:r>
    </w:p>
    <w:p>
      <w:pPr>
        <w:spacing w:after="0" w:line="231"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In accordance with the requirements of the Securities Act of 1933, as amended, this Registration Statement has been signed by the following persons in the capacities and on the dates stated. Each person whose signature appears below constitutes and appoints Wesley R. Edens, Christopher S. Guinta and Yunyoung Shin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ind w:right="560" w:firstLine="324"/>
        <w:spacing w:after="0" w:line="251" w:lineRule="auto"/>
        <w:rPr>
          <w:sz w:val="20"/>
          <w:szCs w:val="20"/>
          <w:color w:val="auto"/>
        </w:rPr>
      </w:pPr>
      <w:r>
        <w:rPr>
          <w:rFonts w:ascii="Arial" w:cs="Arial" w:eastAsia="Arial" w:hAnsi="Arial"/>
          <w:sz w:val="22"/>
          <w:szCs w:val="22"/>
          <w:color w:val="auto"/>
        </w:rPr>
        <w:t>Pursuant to the requirements of the Securities Act of 1933, this registration statement on Form S-3 has been signed by the following persons in the capacities and on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220" w:type="dxa"/>
            <w:vAlign w:val="bottom"/>
          </w:tcPr>
          <w:p>
            <w:pPr>
              <w:spacing w:after="0"/>
              <w:rPr>
                <w:sz w:val="20"/>
                <w:szCs w:val="20"/>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8"/>
        </w:trPr>
        <w:tc>
          <w:tcPr>
            <w:tcW w:w="3780" w:type="dxa"/>
            <w:vAlign w:val="bottom"/>
          </w:tcPr>
          <w:p>
            <w:pPr>
              <w:jc w:val="center"/>
              <w:spacing w:after="0"/>
              <w:rPr>
                <w:sz w:val="20"/>
                <w:szCs w:val="20"/>
                <w:color w:val="auto"/>
              </w:rPr>
            </w:pPr>
            <w:r>
              <w:rPr>
                <w:rFonts w:ascii="Arial" w:cs="Arial" w:eastAsia="Arial" w:hAnsi="Arial"/>
                <w:sz w:val="18"/>
                <w:szCs w:val="18"/>
                <w:color w:val="auto"/>
                <w:w w:val="87"/>
              </w:rPr>
              <w:t>/s/ Wesley R. Edens</w:t>
            </w:r>
          </w:p>
        </w:tc>
        <w:tc>
          <w:tcPr>
            <w:tcW w:w="220" w:type="dxa"/>
            <w:vAlign w:val="bottom"/>
          </w:tcPr>
          <w:p>
            <w:pPr>
              <w:spacing w:after="0"/>
              <w:rPr>
                <w:sz w:val="24"/>
                <w:szCs w:val="24"/>
                <w:color w:val="auto"/>
              </w:rPr>
            </w:pPr>
          </w:p>
        </w:tc>
        <w:tc>
          <w:tcPr>
            <w:tcW w:w="5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Executive Officer and Chairman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35"/>
        </w:trPr>
        <w:tc>
          <w:tcPr>
            <w:tcW w:w="378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5140" w:type="dxa"/>
            <w:vAlign w:val="bottom"/>
            <w:gridSpan w:val="2"/>
            <w:vMerge w:val="restart"/>
          </w:tcPr>
          <w:p>
            <w:pPr>
              <w:jc w:val="center"/>
              <w:ind w:right="200"/>
              <w:spacing w:after="0"/>
              <w:rPr>
                <w:sz w:val="20"/>
                <w:szCs w:val="20"/>
                <w:color w:val="auto"/>
              </w:rPr>
            </w:pPr>
            <w:r>
              <w:rPr>
                <w:rFonts w:ascii="Arial" w:cs="Arial" w:eastAsia="Arial" w:hAnsi="Arial"/>
                <w:sz w:val="18"/>
                <w:szCs w:val="18"/>
                <w:i w:val="1"/>
                <w:iCs w:val="1"/>
                <w:color w:val="auto"/>
                <w:w w:val="94"/>
              </w:rPr>
              <w:t>(Principal Executive Officer)</w:t>
            </w: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88"/>
              </w:rPr>
              <w:t>Wesley R. Edens</w:t>
            </w:r>
          </w:p>
        </w:tc>
        <w:tc>
          <w:tcPr>
            <w:tcW w:w="220" w:type="dxa"/>
            <w:vAlign w:val="bottom"/>
            <w:vMerge w:val="continue"/>
          </w:tcPr>
          <w:p>
            <w:pPr>
              <w:spacing w:after="0"/>
              <w:rPr>
                <w:sz w:val="20"/>
                <w:szCs w:val="20"/>
                <w:color w:val="auto"/>
              </w:rPr>
            </w:pPr>
          </w:p>
        </w:tc>
        <w:tc>
          <w:tcPr>
            <w:tcW w:w="514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Christopher S. Guinta</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35"/>
        </w:trPr>
        <w:tc>
          <w:tcPr>
            <w:tcW w:w="378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5140" w:type="dxa"/>
            <w:vAlign w:val="bottom"/>
            <w:gridSpan w:val="2"/>
            <w:vMerge w:val="restart"/>
          </w:tcPr>
          <w:p>
            <w:pPr>
              <w:jc w:val="center"/>
              <w:ind w:right="200"/>
              <w:spacing w:after="0"/>
              <w:rPr>
                <w:sz w:val="20"/>
                <w:szCs w:val="20"/>
                <w:color w:val="auto"/>
              </w:rPr>
            </w:pPr>
            <w:r>
              <w:rPr>
                <w:rFonts w:ascii="Arial" w:cs="Arial" w:eastAsia="Arial" w:hAnsi="Arial"/>
                <w:sz w:val="18"/>
                <w:szCs w:val="18"/>
                <w:i w:val="1"/>
                <w:iCs w:val="1"/>
                <w:color w:val="auto"/>
                <w:w w:val="97"/>
              </w:rPr>
              <w:t>(Principal Financial Officer)</w:t>
            </w: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Christopher S. Guinta</w:t>
            </w:r>
          </w:p>
        </w:tc>
        <w:tc>
          <w:tcPr>
            <w:tcW w:w="220" w:type="dxa"/>
            <w:vAlign w:val="bottom"/>
            <w:vMerge w:val="continue"/>
          </w:tcPr>
          <w:p>
            <w:pPr>
              <w:spacing w:after="0"/>
              <w:rPr>
                <w:sz w:val="20"/>
                <w:szCs w:val="20"/>
                <w:color w:val="auto"/>
              </w:rPr>
            </w:pPr>
          </w:p>
        </w:tc>
        <w:tc>
          <w:tcPr>
            <w:tcW w:w="514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Yunyoung Shin</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35"/>
        </w:trPr>
        <w:tc>
          <w:tcPr>
            <w:tcW w:w="378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5140" w:type="dxa"/>
            <w:vAlign w:val="bottom"/>
            <w:gridSpan w:val="2"/>
            <w:vMerge w:val="restart"/>
          </w:tcPr>
          <w:p>
            <w:pPr>
              <w:jc w:val="center"/>
              <w:ind w:right="200"/>
              <w:spacing w:after="0"/>
              <w:rPr>
                <w:sz w:val="20"/>
                <w:szCs w:val="20"/>
                <w:color w:val="auto"/>
              </w:rPr>
            </w:pPr>
            <w:r>
              <w:rPr>
                <w:rFonts w:ascii="Arial" w:cs="Arial" w:eastAsia="Arial" w:hAnsi="Arial"/>
                <w:sz w:val="18"/>
                <w:szCs w:val="18"/>
                <w:i w:val="1"/>
                <w:iCs w:val="1"/>
                <w:color w:val="auto"/>
                <w:w w:val="95"/>
              </w:rPr>
              <w:t>(Principal Accounting Officer)</w:t>
            </w: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0"/>
              </w:rPr>
              <w:t>Yunyoung Shin</w:t>
            </w:r>
          </w:p>
        </w:tc>
        <w:tc>
          <w:tcPr>
            <w:tcW w:w="220" w:type="dxa"/>
            <w:vAlign w:val="bottom"/>
            <w:vMerge w:val="continue"/>
          </w:tcPr>
          <w:p>
            <w:pPr>
              <w:spacing w:after="0"/>
              <w:rPr>
                <w:sz w:val="20"/>
                <w:szCs w:val="20"/>
                <w:color w:val="auto"/>
              </w:rPr>
            </w:pPr>
          </w:p>
        </w:tc>
        <w:tc>
          <w:tcPr>
            <w:tcW w:w="514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Randal A. Nardone</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0"/>
              </w:rPr>
              <w:t>Randal A. Nardone</w:t>
            </w: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 William Griffin</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9"/>
              </w:rPr>
              <w:t>C. William Griffin</w:t>
            </w: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J. Mack</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88"/>
              </w:rPr>
              <w:t>John J. Mack</w:t>
            </w: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Matthew Wilkinson</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4"/>
              </w:rPr>
              <w:t>Matthew Wilkinson</w:t>
            </w: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J. Grain</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2"/>
              </w:rPr>
              <w:t>David J. Grain</w:t>
            </w: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Desmond Iain Catterall</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Desmond Iain Catterall</w:t>
            </w: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Katherine E. Wanner</w:t>
            </w:r>
          </w:p>
        </w:tc>
        <w:tc>
          <w:tcPr>
            <w:tcW w:w="220" w:type="dxa"/>
            <w:vAlign w:val="bottom"/>
          </w:tcPr>
          <w:p>
            <w:pPr>
              <w:spacing w:after="0"/>
              <w:rPr>
                <w:sz w:val="24"/>
                <w:szCs w:val="24"/>
                <w:color w:val="auto"/>
              </w:rPr>
            </w:pPr>
          </w:p>
        </w:tc>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5 , 2020</w:t>
            </w: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Katherine E. Wanner</w:t>
            </w: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44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4.2</w:t>
      </w:r>
    </w:p>
    <w:p>
      <w:pPr>
        <w:spacing w:after="0" w:line="233"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NEW FORTRESS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234315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INDENTURE</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Dated as of</w:t>
      </w:r>
    </w:p>
    <w:p>
      <w:pPr>
        <w:spacing w:after="0" w:line="1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227965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-20320</wp:posOffset>
            </wp:positionV>
            <wp:extent cx="8572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U.S. BANK NATIONAL ASSOCIATION</w:t>
      </w: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276860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43" w:name="page44"/>
    <w:bookmarkEnd w:id="43"/>
    <w:p>
      <w:pPr>
        <w:jc w:val="center"/>
        <w:ind w:right="-1220"/>
        <w:spacing w:after="0"/>
        <w:rPr>
          <w:sz w:val="20"/>
          <w:szCs w:val="20"/>
          <w:color w:val="auto"/>
        </w:rPr>
      </w:pPr>
      <w:r>
        <w:rPr>
          <w:rFonts w:ascii="Arial" w:cs="Arial" w:eastAsia="Arial" w:hAnsi="Arial"/>
          <w:sz w:val="22"/>
          <w:szCs w:val="22"/>
          <w:b w:val="1"/>
          <w:bCs w:val="1"/>
          <w:color w:val="auto"/>
        </w:rPr>
        <w:t>Reconciliation and tie between</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Trust Indenture Act of 1939 and Indenture</w:t>
      </w:r>
      <w:r>
        <w:rPr>
          <w:rFonts w:ascii="Arial" w:cs="Arial" w:eastAsia="Arial" w:hAnsi="Arial"/>
          <w:sz w:val="31"/>
          <w:szCs w:val="31"/>
          <w:b w:val="1"/>
          <w:bCs w:val="1"/>
          <w:color w:val="auto"/>
          <w:vertAlign w:val="superscript"/>
        </w:rPr>
        <w:t>*</w:t>
      </w:r>
    </w:p>
    <w:p>
      <w:pPr>
        <w:sectPr>
          <w:pgSz w:w="11900" w:h="16838" w:orient="portrait"/>
          <w:cols w:equalWidth="0" w:num="1">
            <w:col w:w="10219"/>
          </w:cols>
          <w:pgMar w:left="240" w:top="112"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 Indenture Act Section</w:t>
      </w:r>
    </w:p>
    <w:p>
      <w:pPr>
        <w:spacing w:after="0" w:line="77"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310  (a)</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(b)(1)</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311</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312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313  (a)</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314</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315  (e)</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316</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317</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8097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26035</wp:posOffset>
            </wp:positionV>
            <wp:extent cx="72466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11.04(a), 16.02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11.01(f), 11.04(b), 11.05(1), 16.02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11.04(b), 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-130810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11.01(f), 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14.02(d), 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-130810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11.10, 16.02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11.10, 16.02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-130810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10.01(a), 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-130810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11.05, 16.02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-130810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-130810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3359"/>
          </w:cols>
          <w:pgMar w:left="240" w:top="112" w:right="1440" w:bottom="1440" w:gutter="0" w:footer="0" w:header="0"/>
          <w:type w:val="continuous"/>
        </w:sectPr>
      </w:pPr>
    </w:p>
    <w:p>
      <w:pPr>
        <w:spacing w:after="0" w:line="30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reconciliation and tie shall not, for any purpose, be deemed to be a part of the Indenture.</w:t>
      </w:r>
    </w:p>
    <w:p>
      <w:pPr>
        <w:spacing w:after="0" w:line="200" w:lineRule="exact"/>
        <w:rPr>
          <w:sz w:val="20"/>
          <w:szCs w:val="20"/>
          <w:color w:val="auto"/>
        </w:rPr>
      </w:pPr>
    </w:p>
    <w:p>
      <w:pPr>
        <w:spacing w:after="0" w:line="246"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45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60" w:type="dxa"/>
            <w:vAlign w:val="bottom"/>
          </w:tcPr>
          <w:p>
            <w:pPr>
              <w:ind w:left="1660"/>
              <w:spacing w:after="0"/>
              <w:rPr>
                <w:sz w:val="20"/>
                <w:szCs w:val="20"/>
                <w:color w:val="auto"/>
              </w:rPr>
            </w:pPr>
            <w:r>
              <w:rPr>
                <w:rFonts w:ascii="Arial" w:cs="Arial" w:eastAsia="Arial" w:hAnsi="Arial"/>
                <w:sz w:val="22"/>
                <w:szCs w:val="22"/>
                <w:b w:val="1"/>
                <w:bCs w:val="1"/>
                <w:color w:val="auto"/>
              </w:rPr>
              <w:t>TABLE OF CONTENTS</w:t>
            </w:r>
            <w:r>
              <w:rPr>
                <w:rFonts w:ascii="Arial" w:cs="Arial" w:eastAsia="Arial" w:hAnsi="Arial"/>
                <w:sz w:val="36"/>
                <w:szCs w:val="36"/>
                <w:b w:val="1"/>
                <w:bCs w:val="1"/>
                <w:color w:val="auto"/>
                <w:vertAlign w:val="superscript"/>
              </w:rPr>
              <w:t>*</w:t>
            </w: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420" w:type="dxa"/>
            <w:vAlign w:val="bottom"/>
            <w:gridSpan w:val="3"/>
          </w:tcPr>
          <w:p>
            <w:pPr>
              <w:ind w:left="1940"/>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ind w:right="128"/>
              <w:spacing w:after="0"/>
              <w:rPr>
                <w:sz w:val="20"/>
                <w:szCs w:val="20"/>
                <w:color w:val="auto"/>
              </w:rPr>
            </w:pPr>
            <w:r>
              <w:rPr>
                <w:rFonts w:ascii="Arial" w:cs="Arial" w:eastAsia="Arial" w:hAnsi="Arial"/>
                <w:sz w:val="18"/>
                <w:szCs w:val="18"/>
                <w:color w:val="auto"/>
                <w:w w:val="99"/>
              </w:rPr>
              <w:t>ARTICLE I</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ind w:right="108"/>
              <w:spacing w:after="0"/>
              <w:rPr>
                <w:sz w:val="20"/>
                <w:szCs w:val="20"/>
                <w:color w:val="auto"/>
              </w:rPr>
            </w:pPr>
            <w:r>
              <w:rPr>
                <w:rFonts w:ascii="Arial" w:cs="Arial" w:eastAsia="Arial" w:hAnsi="Arial"/>
                <w:sz w:val="18"/>
                <w:szCs w:val="18"/>
                <w:color w:val="auto"/>
                <w:w w:val="98"/>
              </w:rPr>
              <w:t>DEFINITIONS</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Definitions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ind w:right="108"/>
              <w:spacing w:after="0"/>
              <w:rPr>
                <w:sz w:val="20"/>
                <w:szCs w:val="20"/>
                <w:color w:val="auto"/>
              </w:rPr>
            </w:pPr>
            <w:r>
              <w:rPr>
                <w:rFonts w:ascii="Arial" w:cs="Arial" w:eastAsia="Arial" w:hAnsi="Arial"/>
                <w:sz w:val="18"/>
                <w:szCs w:val="18"/>
                <w:color w:val="auto"/>
              </w:rPr>
              <w:t>ARTICLE II</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ind w:right="108"/>
              <w:spacing w:after="0"/>
              <w:rPr>
                <w:sz w:val="20"/>
                <w:szCs w:val="20"/>
                <w:color w:val="auto"/>
              </w:rPr>
            </w:pPr>
            <w:r>
              <w:rPr>
                <w:rFonts w:ascii="Arial" w:cs="Arial" w:eastAsia="Arial" w:hAnsi="Arial"/>
                <w:sz w:val="18"/>
                <w:szCs w:val="18"/>
                <w:color w:val="auto"/>
                <w:w w:val="94"/>
              </w:rPr>
              <w:t>FORMS OF SECURITIES</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Terms of the Securities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2.02</w:t>
            </w:r>
          </w:p>
        </w:tc>
        <w:tc>
          <w:tcPr>
            <w:tcW w:w="7880" w:type="dxa"/>
            <w:vAlign w:val="bottom"/>
            <w:gridSpan w:val="2"/>
          </w:tcPr>
          <w:p>
            <w:pPr>
              <w:ind w:left="240"/>
              <w:spacing w:after="0"/>
              <w:rPr>
                <w:sz w:val="20"/>
                <w:szCs w:val="20"/>
                <w:color w:val="auto"/>
              </w:rPr>
            </w:pPr>
            <w:r>
              <w:rPr>
                <w:rFonts w:ascii="Arial" w:cs="Arial" w:eastAsia="Arial" w:hAnsi="Arial"/>
                <w:sz w:val="18"/>
                <w:szCs w:val="18"/>
                <w:color w:val="auto"/>
              </w:rPr>
              <w:t>Form of Trustee’s Certificate of Authentication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Form of Trustee’s Certificate of Authentication by an Authenticating Agent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ind w:right="128"/>
              <w:spacing w:after="0"/>
              <w:rPr>
                <w:sz w:val="20"/>
                <w:szCs w:val="20"/>
                <w:color w:val="auto"/>
              </w:rPr>
            </w:pPr>
            <w:r>
              <w:rPr>
                <w:rFonts w:ascii="Arial" w:cs="Arial" w:eastAsia="Arial" w:hAnsi="Arial"/>
                <w:sz w:val="18"/>
                <w:szCs w:val="18"/>
                <w:color w:val="auto"/>
              </w:rPr>
              <w:t>ARTICLE III</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ind w:right="108"/>
              <w:spacing w:after="0"/>
              <w:rPr>
                <w:sz w:val="20"/>
                <w:szCs w:val="20"/>
                <w:color w:val="auto"/>
              </w:rPr>
            </w:pPr>
            <w:r>
              <w:rPr>
                <w:rFonts w:ascii="Arial" w:cs="Arial" w:eastAsia="Arial" w:hAnsi="Arial"/>
                <w:sz w:val="18"/>
                <w:szCs w:val="18"/>
                <w:color w:val="auto"/>
                <w:w w:val="95"/>
              </w:rPr>
              <w:t>THE DEBT SECURITIES</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Amount Unlimited; Issuable in Series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3.02</w:t>
            </w:r>
          </w:p>
        </w:tc>
        <w:tc>
          <w:tcPr>
            <w:tcW w:w="7880" w:type="dxa"/>
            <w:vAlign w:val="bottom"/>
            <w:gridSpan w:val="2"/>
          </w:tcPr>
          <w:p>
            <w:pPr>
              <w:ind w:left="240"/>
              <w:spacing w:after="0"/>
              <w:rPr>
                <w:sz w:val="20"/>
                <w:szCs w:val="20"/>
                <w:color w:val="auto"/>
              </w:rPr>
            </w:pPr>
            <w:r>
              <w:rPr>
                <w:rFonts w:ascii="Arial" w:cs="Arial" w:eastAsia="Arial" w:hAnsi="Arial"/>
                <w:sz w:val="18"/>
                <w:szCs w:val="18"/>
                <w:color w:val="auto"/>
              </w:rPr>
              <w:t>Denominations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Execution, Authentication, Delivery and Dating</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3.04</w:t>
            </w:r>
          </w:p>
        </w:tc>
        <w:tc>
          <w:tcPr>
            <w:tcW w:w="7880" w:type="dxa"/>
            <w:vAlign w:val="bottom"/>
            <w:gridSpan w:val="2"/>
          </w:tcPr>
          <w:p>
            <w:pPr>
              <w:ind w:left="240"/>
              <w:spacing w:after="0"/>
              <w:rPr>
                <w:sz w:val="20"/>
                <w:szCs w:val="20"/>
                <w:color w:val="auto"/>
              </w:rPr>
            </w:pPr>
            <w:r>
              <w:rPr>
                <w:rFonts w:ascii="Arial" w:cs="Arial" w:eastAsia="Arial" w:hAnsi="Arial"/>
                <w:sz w:val="18"/>
                <w:szCs w:val="18"/>
                <w:color w:val="auto"/>
              </w:rPr>
              <w:t>Temporary Securities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Registrar and Paying Agent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3.06</w:t>
            </w:r>
          </w:p>
        </w:tc>
        <w:tc>
          <w:tcPr>
            <w:tcW w:w="7880" w:type="dxa"/>
            <w:vAlign w:val="bottom"/>
            <w:gridSpan w:val="2"/>
          </w:tcPr>
          <w:p>
            <w:pPr>
              <w:ind w:left="240"/>
              <w:spacing w:after="0"/>
              <w:rPr>
                <w:sz w:val="20"/>
                <w:szCs w:val="20"/>
                <w:color w:val="auto"/>
              </w:rPr>
            </w:pPr>
            <w:r>
              <w:rPr>
                <w:rFonts w:ascii="Arial" w:cs="Arial" w:eastAsia="Arial" w:hAnsi="Arial"/>
                <w:sz w:val="18"/>
                <w:szCs w:val="18"/>
                <w:color w:val="auto"/>
              </w:rPr>
              <w:t>Transfer and Exchange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3.07</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Mutilated, Destroyed, Lost and Stolen Securities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3.08</w:t>
            </w:r>
          </w:p>
        </w:tc>
        <w:tc>
          <w:tcPr>
            <w:tcW w:w="7880" w:type="dxa"/>
            <w:vAlign w:val="bottom"/>
            <w:gridSpan w:val="2"/>
          </w:tcPr>
          <w:p>
            <w:pPr>
              <w:ind w:left="240"/>
              <w:spacing w:after="0"/>
              <w:rPr>
                <w:sz w:val="20"/>
                <w:szCs w:val="20"/>
                <w:color w:val="auto"/>
              </w:rPr>
            </w:pPr>
            <w:r>
              <w:rPr>
                <w:rFonts w:ascii="Arial" w:cs="Arial" w:eastAsia="Arial" w:hAnsi="Arial"/>
                <w:sz w:val="18"/>
                <w:szCs w:val="18"/>
                <w:color w:val="auto"/>
              </w:rPr>
              <w:t>Payment of Interest; Interest Rights Preserved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3.09</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Cancellation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3.10</w:t>
            </w:r>
          </w:p>
        </w:tc>
        <w:tc>
          <w:tcPr>
            <w:tcW w:w="7880" w:type="dxa"/>
            <w:vAlign w:val="bottom"/>
            <w:gridSpan w:val="2"/>
          </w:tcPr>
          <w:p>
            <w:pPr>
              <w:ind w:left="240"/>
              <w:spacing w:after="0"/>
              <w:rPr>
                <w:sz w:val="20"/>
                <w:szCs w:val="20"/>
                <w:color w:val="auto"/>
              </w:rPr>
            </w:pPr>
            <w:r>
              <w:rPr>
                <w:rFonts w:ascii="Arial" w:cs="Arial" w:eastAsia="Arial" w:hAnsi="Arial"/>
                <w:sz w:val="18"/>
                <w:szCs w:val="18"/>
                <w:color w:val="auto"/>
              </w:rPr>
              <w:t>Computation of Interest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Currency of Payments in Respect of Securities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3.12</w:t>
            </w:r>
          </w:p>
        </w:tc>
        <w:tc>
          <w:tcPr>
            <w:tcW w:w="7880" w:type="dxa"/>
            <w:vAlign w:val="bottom"/>
            <w:gridSpan w:val="2"/>
          </w:tcPr>
          <w:p>
            <w:pPr>
              <w:ind w:left="240"/>
              <w:spacing w:after="0"/>
              <w:rPr>
                <w:sz w:val="20"/>
                <w:szCs w:val="20"/>
                <w:color w:val="auto"/>
              </w:rPr>
            </w:pPr>
            <w:r>
              <w:rPr>
                <w:rFonts w:ascii="Arial" w:cs="Arial" w:eastAsia="Arial" w:hAnsi="Arial"/>
                <w:sz w:val="18"/>
                <w:szCs w:val="18"/>
                <w:color w:val="auto"/>
              </w:rPr>
              <w:t>Judgments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CUSIP Numbers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ind w:right="128"/>
              <w:spacing w:after="0"/>
              <w:rPr>
                <w:sz w:val="20"/>
                <w:szCs w:val="20"/>
                <w:color w:val="auto"/>
              </w:rPr>
            </w:pPr>
            <w:r>
              <w:rPr>
                <w:rFonts w:ascii="Arial" w:cs="Arial" w:eastAsia="Arial" w:hAnsi="Arial"/>
                <w:sz w:val="18"/>
                <w:szCs w:val="18"/>
                <w:color w:val="auto"/>
                <w:w w:val="99"/>
              </w:rPr>
              <w:t>ARTICLE IV</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ind w:right="128"/>
              <w:spacing w:after="0"/>
              <w:rPr>
                <w:sz w:val="20"/>
                <w:szCs w:val="20"/>
                <w:color w:val="auto"/>
              </w:rPr>
            </w:pPr>
            <w:r>
              <w:rPr>
                <w:rFonts w:ascii="Arial" w:cs="Arial" w:eastAsia="Arial" w:hAnsi="Arial"/>
                <w:sz w:val="18"/>
                <w:szCs w:val="18"/>
                <w:color w:val="auto"/>
                <w:w w:val="95"/>
              </w:rPr>
              <w:t>REDEMPTION OF SECURITIES</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Applicability of Right of Redemption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4.02</w:t>
            </w:r>
          </w:p>
        </w:tc>
        <w:tc>
          <w:tcPr>
            <w:tcW w:w="7880" w:type="dxa"/>
            <w:vAlign w:val="bottom"/>
            <w:gridSpan w:val="2"/>
          </w:tcPr>
          <w:p>
            <w:pPr>
              <w:ind w:left="240"/>
              <w:spacing w:after="0"/>
              <w:rPr>
                <w:sz w:val="20"/>
                <w:szCs w:val="20"/>
                <w:color w:val="auto"/>
              </w:rPr>
            </w:pPr>
            <w:r>
              <w:rPr>
                <w:rFonts w:ascii="Arial" w:cs="Arial" w:eastAsia="Arial" w:hAnsi="Arial"/>
                <w:sz w:val="18"/>
                <w:szCs w:val="18"/>
                <w:color w:val="auto"/>
              </w:rPr>
              <w:t>Selection of Securities to be Redeemed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4.03</w:t>
            </w:r>
          </w:p>
        </w:tc>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Notice of Redemption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61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Table of Contents is not a part of the Indenture.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4.04</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 of Redemption Price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4.05</w:t>
            </w:r>
          </w:p>
        </w:tc>
        <w:tc>
          <w:tcPr>
            <w:tcW w:w="8440" w:type="dxa"/>
            <w:vAlign w:val="bottom"/>
          </w:tcPr>
          <w:p>
            <w:pPr>
              <w:ind w:left="240"/>
              <w:spacing w:after="0"/>
              <w:rPr>
                <w:sz w:val="20"/>
                <w:szCs w:val="20"/>
                <w:color w:val="auto"/>
              </w:rPr>
            </w:pPr>
            <w:r>
              <w:rPr>
                <w:rFonts w:ascii="Arial" w:cs="Arial" w:eastAsia="Arial" w:hAnsi="Arial"/>
                <w:sz w:val="18"/>
                <w:szCs w:val="18"/>
                <w:color w:val="auto"/>
              </w:rPr>
              <w:t>Securities Payable on Redemption Date</w:t>
            </w:r>
          </w:p>
        </w:tc>
        <w:tc>
          <w:tcPr>
            <w:tcW w:w="18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4.06</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Redeemed in Part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98"/>
              </w:rPr>
              <w:t>ARTICLE V</w:t>
            </w: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SINKING FUNDS</w:t>
            </w: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5.01</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Applicability of Sinking Fund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5.02</w:t>
            </w:r>
          </w:p>
        </w:tc>
        <w:tc>
          <w:tcPr>
            <w:tcW w:w="8440" w:type="dxa"/>
            <w:vAlign w:val="bottom"/>
          </w:tcPr>
          <w:p>
            <w:pPr>
              <w:ind w:left="240"/>
              <w:spacing w:after="0"/>
              <w:rPr>
                <w:sz w:val="20"/>
                <w:szCs w:val="20"/>
                <w:color w:val="auto"/>
              </w:rPr>
            </w:pPr>
            <w:r>
              <w:rPr>
                <w:rFonts w:ascii="Arial" w:cs="Arial" w:eastAsia="Arial" w:hAnsi="Arial"/>
                <w:sz w:val="18"/>
                <w:szCs w:val="18"/>
                <w:color w:val="auto"/>
              </w:rPr>
              <w:t>Mandatory Sinking Fund Obligation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5.03</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Optional Redemption at Sinking Fund Redemption Price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5.04</w:t>
            </w:r>
          </w:p>
        </w:tc>
        <w:tc>
          <w:tcPr>
            <w:tcW w:w="8440" w:type="dxa"/>
            <w:vAlign w:val="bottom"/>
          </w:tcPr>
          <w:p>
            <w:pPr>
              <w:ind w:left="240"/>
              <w:spacing w:after="0"/>
              <w:rPr>
                <w:sz w:val="20"/>
                <w:szCs w:val="20"/>
                <w:color w:val="auto"/>
              </w:rPr>
            </w:pPr>
            <w:r>
              <w:rPr>
                <w:rFonts w:ascii="Arial" w:cs="Arial" w:eastAsia="Arial" w:hAnsi="Arial"/>
                <w:sz w:val="18"/>
                <w:szCs w:val="18"/>
                <w:color w:val="auto"/>
              </w:rPr>
              <w:t>Application of Sinking Fund Payment</w:t>
            </w:r>
          </w:p>
        </w:tc>
        <w:tc>
          <w:tcPr>
            <w:tcW w:w="18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jc w:val="center"/>
              <w:ind w:left="850"/>
              <w:spacing w:after="0"/>
              <w:rPr>
                <w:sz w:val="20"/>
                <w:szCs w:val="20"/>
                <w:color w:val="auto"/>
              </w:rPr>
            </w:pPr>
            <w:r>
              <w:rPr>
                <w:rFonts w:ascii="Arial" w:cs="Arial" w:eastAsia="Arial" w:hAnsi="Arial"/>
                <w:sz w:val="18"/>
                <w:szCs w:val="18"/>
                <w:color w:val="auto"/>
                <w:w w:val="99"/>
              </w:rPr>
              <w:t>ARTICLE VI</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jc w:val="center"/>
              <w:ind w:left="870"/>
              <w:spacing w:after="0"/>
              <w:rPr>
                <w:sz w:val="20"/>
                <w:szCs w:val="20"/>
                <w:color w:val="auto"/>
              </w:rPr>
            </w:pPr>
            <w:r>
              <w:rPr>
                <w:rFonts w:ascii="Arial" w:cs="Arial" w:eastAsia="Arial" w:hAnsi="Arial"/>
                <w:sz w:val="18"/>
                <w:szCs w:val="18"/>
                <w:color w:val="auto"/>
                <w:w w:val="96"/>
              </w:rPr>
              <w:t>PARTICULAR COVENANTS OF THE COMPANY</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6.01</w:t>
            </w:r>
          </w:p>
        </w:tc>
        <w:tc>
          <w:tcPr>
            <w:tcW w:w="8440" w:type="dxa"/>
            <w:vAlign w:val="bottom"/>
          </w:tcPr>
          <w:p>
            <w:pPr>
              <w:ind w:left="240"/>
              <w:spacing w:after="0"/>
              <w:rPr>
                <w:sz w:val="20"/>
                <w:szCs w:val="20"/>
                <w:color w:val="auto"/>
              </w:rPr>
            </w:pPr>
            <w:r>
              <w:rPr>
                <w:rFonts w:ascii="Arial" w:cs="Arial" w:eastAsia="Arial" w:hAnsi="Arial"/>
                <w:sz w:val="18"/>
                <w:szCs w:val="18"/>
                <w:color w:val="auto"/>
              </w:rPr>
              <w:t>Payments of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6.02</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Paying Agent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6.03</w:t>
            </w:r>
          </w:p>
        </w:tc>
        <w:tc>
          <w:tcPr>
            <w:tcW w:w="8440" w:type="dxa"/>
            <w:vAlign w:val="bottom"/>
          </w:tcPr>
          <w:p>
            <w:pPr>
              <w:ind w:left="240"/>
              <w:spacing w:after="0"/>
              <w:rPr>
                <w:sz w:val="20"/>
                <w:szCs w:val="20"/>
                <w:color w:val="auto"/>
              </w:rPr>
            </w:pPr>
            <w:r>
              <w:rPr>
                <w:rFonts w:ascii="Arial" w:cs="Arial" w:eastAsia="Arial" w:hAnsi="Arial"/>
                <w:sz w:val="18"/>
                <w:szCs w:val="18"/>
                <w:color w:val="auto"/>
              </w:rPr>
              <w:t>To Hold Payment in Trust</w:t>
            </w:r>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6.04</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Merger, Consolidation and Sale of Assets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6.05</w:t>
            </w:r>
          </w:p>
        </w:tc>
        <w:tc>
          <w:tcPr>
            <w:tcW w:w="8440" w:type="dxa"/>
            <w:vAlign w:val="bottom"/>
          </w:tcPr>
          <w:p>
            <w:pPr>
              <w:ind w:left="240"/>
              <w:spacing w:after="0"/>
              <w:rPr>
                <w:sz w:val="20"/>
                <w:szCs w:val="20"/>
                <w:color w:val="auto"/>
              </w:rPr>
            </w:pPr>
            <w:r>
              <w:rPr>
                <w:rFonts w:ascii="Arial" w:cs="Arial" w:eastAsia="Arial" w:hAnsi="Arial"/>
                <w:sz w:val="18"/>
                <w:szCs w:val="18"/>
                <w:color w:val="auto"/>
              </w:rPr>
              <w:t>Compliance Certificate</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6.06</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Conditional Waiver by Holders of Securities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6.07</w:t>
            </w:r>
          </w:p>
        </w:tc>
        <w:tc>
          <w:tcPr>
            <w:tcW w:w="8440" w:type="dxa"/>
            <w:vAlign w:val="bottom"/>
          </w:tcPr>
          <w:p>
            <w:pPr>
              <w:ind w:left="240"/>
              <w:spacing w:after="0"/>
              <w:rPr>
                <w:sz w:val="20"/>
                <w:szCs w:val="20"/>
                <w:color w:val="auto"/>
              </w:rPr>
            </w:pPr>
            <w:r>
              <w:rPr>
                <w:rFonts w:ascii="Arial" w:cs="Arial" w:eastAsia="Arial" w:hAnsi="Arial"/>
                <w:sz w:val="18"/>
                <w:szCs w:val="18"/>
                <w:color w:val="auto"/>
              </w:rPr>
              <w:t>Statement by Officers as to Default</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jc w:val="center"/>
              <w:ind w:left="870"/>
              <w:spacing w:after="0"/>
              <w:rPr>
                <w:sz w:val="20"/>
                <w:szCs w:val="20"/>
                <w:color w:val="auto"/>
              </w:rPr>
            </w:pPr>
            <w:r>
              <w:rPr>
                <w:rFonts w:ascii="Arial" w:cs="Arial" w:eastAsia="Arial" w:hAnsi="Arial"/>
                <w:sz w:val="18"/>
                <w:szCs w:val="18"/>
                <w:color w:val="auto"/>
              </w:rPr>
              <w:t>ARTICLE VII</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jc w:val="center"/>
              <w:ind w:left="870"/>
              <w:spacing w:after="0"/>
              <w:rPr>
                <w:sz w:val="20"/>
                <w:szCs w:val="20"/>
                <w:color w:val="auto"/>
              </w:rPr>
            </w:pPr>
            <w:r>
              <w:rPr>
                <w:rFonts w:ascii="Arial" w:cs="Arial" w:eastAsia="Arial" w:hAnsi="Arial"/>
                <w:sz w:val="18"/>
                <w:szCs w:val="18"/>
                <w:color w:val="auto"/>
                <w:w w:val="95"/>
              </w:rPr>
              <w:t>REMEDIES OF TRUSTEE AND SECURITYHOLDERS</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7.01</w:t>
            </w:r>
          </w:p>
        </w:tc>
        <w:tc>
          <w:tcPr>
            <w:tcW w:w="844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7.02</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Acceleration; Rescission and Annulment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7.03</w:t>
            </w:r>
          </w:p>
        </w:tc>
        <w:tc>
          <w:tcPr>
            <w:tcW w:w="8440" w:type="dxa"/>
            <w:vAlign w:val="bottom"/>
          </w:tcPr>
          <w:p>
            <w:pPr>
              <w:ind w:left="240"/>
              <w:spacing w:after="0"/>
              <w:rPr>
                <w:sz w:val="20"/>
                <w:szCs w:val="20"/>
                <w:color w:val="auto"/>
              </w:rPr>
            </w:pPr>
            <w:r>
              <w:rPr>
                <w:rFonts w:ascii="Arial" w:cs="Arial" w:eastAsia="Arial" w:hAnsi="Arial"/>
                <w:sz w:val="18"/>
                <w:szCs w:val="18"/>
                <w:color w:val="auto"/>
              </w:rPr>
              <w:t>Other Remedies</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7.04</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Trustee as Attorney-in-Fact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7.05</w:t>
            </w:r>
          </w:p>
        </w:tc>
        <w:tc>
          <w:tcPr>
            <w:tcW w:w="8440" w:type="dxa"/>
            <w:vAlign w:val="bottom"/>
          </w:tcPr>
          <w:p>
            <w:pPr>
              <w:ind w:left="240"/>
              <w:spacing w:after="0"/>
              <w:rPr>
                <w:sz w:val="20"/>
                <w:szCs w:val="20"/>
                <w:color w:val="auto"/>
              </w:rPr>
            </w:pPr>
            <w:r>
              <w:rPr>
                <w:rFonts w:ascii="Arial" w:cs="Arial" w:eastAsia="Arial" w:hAnsi="Arial"/>
                <w:sz w:val="18"/>
                <w:szCs w:val="18"/>
                <w:color w:val="auto"/>
              </w:rPr>
              <w:t>Priorities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7.06</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Control by Securityholders; Waiver of Past Defaults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7.07</w:t>
            </w:r>
          </w:p>
        </w:tc>
        <w:tc>
          <w:tcPr>
            <w:tcW w:w="8440" w:type="dxa"/>
            <w:vAlign w:val="bottom"/>
          </w:tcPr>
          <w:p>
            <w:pPr>
              <w:ind w:left="240"/>
              <w:spacing w:after="0"/>
              <w:rPr>
                <w:sz w:val="20"/>
                <w:szCs w:val="20"/>
                <w:color w:val="auto"/>
              </w:rPr>
            </w:pPr>
            <w:r>
              <w:rPr>
                <w:rFonts w:ascii="Arial" w:cs="Arial" w:eastAsia="Arial" w:hAnsi="Arial"/>
                <w:sz w:val="18"/>
                <w:szCs w:val="18"/>
                <w:color w:val="auto"/>
              </w:rPr>
              <w:t>Limitation on Suits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7.08</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Undertaking for Costs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7.09</w:t>
            </w:r>
          </w:p>
        </w:tc>
        <w:tc>
          <w:tcPr>
            <w:tcW w:w="8440" w:type="dxa"/>
            <w:vAlign w:val="bottom"/>
          </w:tcPr>
          <w:p>
            <w:pPr>
              <w:ind w:left="240"/>
              <w:spacing w:after="0"/>
              <w:rPr>
                <w:sz w:val="20"/>
                <w:szCs w:val="20"/>
                <w:color w:val="auto"/>
              </w:rPr>
            </w:pPr>
            <w:r>
              <w:rPr>
                <w:rFonts w:ascii="Arial" w:cs="Arial" w:eastAsia="Arial" w:hAnsi="Arial"/>
                <w:sz w:val="18"/>
                <w:szCs w:val="18"/>
                <w:color w:val="auto"/>
              </w:rPr>
              <w:t>Remedies Cumulative</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jc w:val="center"/>
              <w:ind w:left="850"/>
              <w:spacing w:after="0"/>
              <w:rPr>
                <w:sz w:val="20"/>
                <w:szCs w:val="20"/>
                <w:color w:val="auto"/>
              </w:rPr>
            </w:pPr>
            <w:r>
              <w:rPr>
                <w:rFonts w:ascii="Arial" w:cs="Arial" w:eastAsia="Arial" w:hAnsi="Arial"/>
                <w:sz w:val="18"/>
                <w:szCs w:val="18"/>
                <w:color w:val="auto"/>
              </w:rPr>
              <w:t>ARTICLE VIII</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jc w:val="center"/>
              <w:ind w:left="870"/>
              <w:spacing w:after="0"/>
              <w:rPr>
                <w:sz w:val="20"/>
                <w:szCs w:val="20"/>
                <w:color w:val="auto"/>
              </w:rPr>
            </w:pPr>
            <w:r>
              <w:rPr>
                <w:rFonts w:ascii="Arial" w:cs="Arial" w:eastAsia="Arial" w:hAnsi="Arial"/>
                <w:sz w:val="18"/>
                <w:szCs w:val="18"/>
                <w:color w:val="auto"/>
                <w:w w:val="95"/>
              </w:rPr>
              <w:t>CONCERNING THE SECURITYHOLDERS</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8.01</w:t>
            </w:r>
          </w:p>
        </w:tc>
        <w:tc>
          <w:tcPr>
            <w:tcW w:w="8440" w:type="dxa"/>
            <w:vAlign w:val="bottom"/>
          </w:tcPr>
          <w:p>
            <w:pPr>
              <w:ind w:left="240"/>
              <w:spacing w:after="0"/>
              <w:rPr>
                <w:sz w:val="20"/>
                <w:szCs w:val="20"/>
                <w:color w:val="auto"/>
              </w:rPr>
            </w:pPr>
            <w:r>
              <w:rPr>
                <w:rFonts w:ascii="Arial" w:cs="Arial" w:eastAsia="Arial" w:hAnsi="Arial"/>
                <w:sz w:val="18"/>
                <w:szCs w:val="18"/>
                <w:color w:val="auto"/>
              </w:rPr>
              <w:t>Evidence of Action of Securityholders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8.02</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Proof of Execution or Holding of Securities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8.03</w:t>
            </w:r>
          </w:p>
        </w:tc>
        <w:tc>
          <w:tcPr>
            <w:tcW w:w="8440" w:type="dxa"/>
            <w:vAlign w:val="bottom"/>
          </w:tcPr>
          <w:p>
            <w:pPr>
              <w:ind w:left="240"/>
              <w:spacing w:after="0"/>
              <w:rPr>
                <w:sz w:val="20"/>
                <w:szCs w:val="20"/>
                <w:color w:val="auto"/>
              </w:rPr>
            </w:pPr>
            <w:r>
              <w:rPr>
                <w:rFonts w:ascii="Arial" w:cs="Arial" w:eastAsia="Arial" w:hAnsi="Arial"/>
                <w:sz w:val="18"/>
                <w:szCs w:val="18"/>
                <w:color w:val="auto"/>
              </w:rPr>
              <w:t>Persons Deemed Owners</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8.04</w:t>
            </w:r>
          </w:p>
        </w:tc>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Consents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ARTICLE IX</w:t>
            </w: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6"/>
              </w:rPr>
              <w:t>SECURITYHOLDERS’ MEETINGS</w:t>
            </w: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Purposes of Meetings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9060" w:type="dxa"/>
            <w:vAlign w:val="bottom"/>
          </w:tcPr>
          <w:p>
            <w:pPr>
              <w:ind w:left="180"/>
              <w:spacing w:after="0"/>
              <w:rPr>
                <w:sz w:val="20"/>
                <w:szCs w:val="20"/>
                <w:color w:val="auto"/>
              </w:rPr>
            </w:pPr>
            <w:r>
              <w:rPr>
                <w:rFonts w:ascii="Arial" w:cs="Arial" w:eastAsia="Arial" w:hAnsi="Arial"/>
                <w:sz w:val="18"/>
                <w:szCs w:val="18"/>
                <w:color w:val="auto"/>
              </w:rPr>
              <w:t>Call of Meetings by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Call of Meetings by Company or Securityholders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9.04</w:t>
            </w:r>
          </w:p>
        </w:tc>
        <w:tc>
          <w:tcPr>
            <w:tcW w:w="9060" w:type="dxa"/>
            <w:vAlign w:val="bottom"/>
          </w:tcPr>
          <w:p>
            <w:pPr>
              <w:ind w:left="180"/>
              <w:spacing w:after="0"/>
              <w:rPr>
                <w:sz w:val="20"/>
                <w:szCs w:val="20"/>
                <w:color w:val="auto"/>
              </w:rPr>
            </w:pPr>
            <w:r>
              <w:rPr>
                <w:rFonts w:ascii="Arial" w:cs="Arial" w:eastAsia="Arial" w:hAnsi="Arial"/>
                <w:sz w:val="18"/>
                <w:szCs w:val="18"/>
                <w:color w:val="auto"/>
              </w:rPr>
              <w:t>Qualifications for 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9.05</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Regulation of Meetings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9.06</w:t>
            </w:r>
          </w:p>
        </w:tc>
        <w:tc>
          <w:tcPr>
            <w:tcW w:w="9060" w:type="dxa"/>
            <w:vAlign w:val="bottom"/>
          </w:tcPr>
          <w:p>
            <w:pPr>
              <w:ind w:left="180"/>
              <w:spacing w:after="0"/>
              <w:rPr>
                <w:sz w:val="20"/>
                <w:szCs w:val="20"/>
                <w:color w:val="auto"/>
              </w:rPr>
            </w:pPr>
            <w:r>
              <w:rPr>
                <w:rFonts w:ascii="Arial" w:cs="Arial" w:eastAsia="Arial" w:hAnsi="Arial"/>
                <w:sz w:val="18"/>
                <w:szCs w:val="18"/>
                <w:color w:val="auto"/>
              </w:rPr>
              <w:t>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9.07</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Delay of Rights by Meeting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8"/>
              </w:rPr>
              <w:t>ARTICLE X</w:t>
            </w: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6"/>
              </w:rPr>
              <w:t>REPORTS BY THE COMPANY AND THE TRUSTEE AND SECURITYHOLDERS’ LISTS</w:t>
            </w: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10.01</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Reports by Trustee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10.02</w:t>
            </w:r>
          </w:p>
        </w:tc>
        <w:tc>
          <w:tcPr>
            <w:tcW w:w="9060" w:type="dxa"/>
            <w:vAlign w:val="bottom"/>
          </w:tcPr>
          <w:p>
            <w:pPr>
              <w:ind w:left="180"/>
              <w:spacing w:after="0"/>
              <w:rPr>
                <w:sz w:val="20"/>
                <w:szCs w:val="20"/>
                <w:color w:val="auto"/>
              </w:rPr>
            </w:pPr>
            <w:r>
              <w:rPr>
                <w:rFonts w:ascii="Arial" w:cs="Arial" w:eastAsia="Arial" w:hAnsi="Arial"/>
                <w:sz w:val="18"/>
                <w:szCs w:val="18"/>
                <w:color w:val="auto"/>
              </w:rPr>
              <w:t>Reports by the Company</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10.03</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Securityholders’ Lists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ARTICLE XI</w:t>
            </w: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4"/>
              </w:rPr>
              <w:t>CONCERNING THE TRUSTEE</w:t>
            </w: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11.01</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Rights of Trustees; Compensation and Indemnity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11.02</w:t>
            </w:r>
          </w:p>
        </w:tc>
        <w:tc>
          <w:tcPr>
            <w:tcW w:w="9060" w:type="dxa"/>
            <w:vAlign w:val="bottom"/>
          </w:tcPr>
          <w:p>
            <w:pPr>
              <w:ind w:left="180"/>
              <w:spacing w:after="0"/>
              <w:rPr>
                <w:sz w:val="20"/>
                <w:szCs w:val="20"/>
                <w:color w:val="auto"/>
              </w:rPr>
            </w:pPr>
            <w:r>
              <w:rPr>
                <w:rFonts w:ascii="Arial" w:cs="Arial" w:eastAsia="Arial" w:hAnsi="Arial"/>
                <w:sz w:val="18"/>
                <w:szCs w:val="18"/>
                <w:color w:val="auto"/>
              </w:rPr>
              <w:t>Duties of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11.03</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Notice of Defaults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11.04</w:t>
            </w:r>
          </w:p>
        </w:tc>
        <w:tc>
          <w:tcPr>
            <w:tcW w:w="9060" w:type="dxa"/>
            <w:vAlign w:val="bottom"/>
          </w:tcPr>
          <w:p>
            <w:pPr>
              <w:ind w:left="180"/>
              <w:spacing w:after="0"/>
              <w:rPr>
                <w:sz w:val="20"/>
                <w:szCs w:val="20"/>
                <w:color w:val="auto"/>
              </w:rPr>
            </w:pPr>
            <w:r>
              <w:rPr>
                <w:rFonts w:ascii="Arial" w:cs="Arial" w:eastAsia="Arial" w:hAnsi="Arial"/>
                <w:sz w:val="18"/>
                <w:szCs w:val="18"/>
                <w:color w:val="auto"/>
              </w:rPr>
              <w:t>Eligibility; Disqualification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11.05</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Resignation and Notice; Removal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11.06</w:t>
            </w:r>
          </w:p>
        </w:tc>
        <w:tc>
          <w:tcPr>
            <w:tcW w:w="9060" w:type="dxa"/>
            <w:vAlign w:val="bottom"/>
          </w:tcPr>
          <w:p>
            <w:pPr>
              <w:ind w:left="180"/>
              <w:spacing w:after="0"/>
              <w:rPr>
                <w:sz w:val="20"/>
                <w:szCs w:val="20"/>
                <w:color w:val="auto"/>
              </w:rPr>
            </w:pPr>
            <w:r>
              <w:rPr>
                <w:rFonts w:ascii="Arial" w:cs="Arial" w:eastAsia="Arial" w:hAnsi="Arial"/>
                <w:sz w:val="18"/>
                <w:szCs w:val="18"/>
                <w:color w:val="auto"/>
              </w:rPr>
              <w:t>Successor Trustee by Appointment</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11.07</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Successor Trustee by Merger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11.08</w:t>
            </w:r>
          </w:p>
        </w:tc>
        <w:tc>
          <w:tcPr>
            <w:tcW w:w="9060" w:type="dxa"/>
            <w:vAlign w:val="bottom"/>
          </w:tcPr>
          <w:p>
            <w:pPr>
              <w:ind w:left="180"/>
              <w:spacing w:after="0"/>
              <w:rPr>
                <w:sz w:val="20"/>
                <w:szCs w:val="20"/>
                <w:color w:val="auto"/>
              </w:rPr>
            </w:pPr>
            <w:r>
              <w:rPr>
                <w:rFonts w:ascii="Arial" w:cs="Arial" w:eastAsia="Arial" w:hAnsi="Arial"/>
                <w:sz w:val="18"/>
                <w:szCs w:val="18"/>
                <w:color w:val="auto"/>
              </w:rPr>
              <w:t>Right to Rely on Officer’s Certificate</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11.09</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Appointment of Authenticating Agent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11.10</w:t>
            </w:r>
          </w:p>
        </w:tc>
        <w:tc>
          <w:tcPr>
            <w:tcW w:w="9060" w:type="dxa"/>
            <w:vAlign w:val="bottom"/>
          </w:tcPr>
          <w:p>
            <w:pPr>
              <w:ind w:left="180"/>
              <w:spacing w:after="0"/>
              <w:rPr>
                <w:sz w:val="20"/>
                <w:szCs w:val="20"/>
                <w:color w:val="auto"/>
              </w:rPr>
            </w:pPr>
            <w:r>
              <w:rPr>
                <w:rFonts w:ascii="Arial" w:cs="Arial" w:eastAsia="Arial" w:hAnsi="Arial"/>
                <w:sz w:val="18"/>
                <w:szCs w:val="18"/>
                <w:color w:val="auto"/>
              </w:rPr>
              <w:t>Communications by Securityholders with Other Securityholders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jc w:val="center"/>
              <w:ind w:left="130"/>
              <w:spacing w:after="0"/>
              <w:rPr>
                <w:sz w:val="20"/>
                <w:szCs w:val="20"/>
                <w:color w:val="auto"/>
              </w:rPr>
            </w:pPr>
            <w:r>
              <w:rPr>
                <w:rFonts w:ascii="Arial" w:cs="Arial" w:eastAsia="Arial" w:hAnsi="Arial"/>
                <w:sz w:val="18"/>
                <w:szCs w:val="18"/>
                <w:color w:val="auto"/>
              </w:rPr>
              <w:t>ARTICLE XII</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60" w:type="dxa"/>
            <w:vAlign w:val="bottom"/>
          </w:tcPr>
          <w:p>
            <w:pPr>
              <w:jc w:val="center"/>
              <w:ind w:left="110"/>
              <w:spacing w:after="0"/>
              <w:rPr>
                <w:sz w:val="20"/>
                <w:szCs w:val="20"/>
                <w:color w:val="auto"/>
              </w:rPr>
            </w:pPr>
            <w:r>
              <w:rPr>
                <w:rFonts w:ascii="Arial" w:cs="Arial" w:eastAsia="Arial" w:hAnsi="Arial"/>
                <w:sz w:val="18"/>
                <w:szCs w:val="18"/>
                <w:color w:val="auto"/>
                <w:w w:val="96"/>
              </w:rPr>
              <w:t>SATISFACTION AND DISCHARGE; DEFEASANCE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9060" w:type="dxa"/>
            <w:vAlign w:val="bottom"/>
          </w:tcPr>
          <w:p>
            <w:pPr>
              <w:ind w:left="180"/>
              <w:spacing w:after="0"/>
              <w:rPr>
                <w:sz w:val="20"/>
                <w:szCs w:val="20"/>
                <w:color w:val="auto"/>
              </w:rPr>
            </w:pPr>
            <w:r>
              <w:rPr>
                <w:rFonts w:ascii="Arial" w:cs="Arial" w:eastAsia="Arial" w:hAnsi="Arial"/>
                <w:sz w:val="18"/>
                <w:szCs w:val="18"/>
                <w:color w:val="auto"/>
              </w:rPr>
              <w:t>Applicability of Article</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12.02</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Satisfaction and Discharge of Indenture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12.03</w:t>
            </w:r>
          </w:p>
        </w:tc>
        <w:tc>
          <w:tcPr>
            <w:tcW w:w="9060" w:type="dxa"/>
            <w:vAlign w:val="bottom"/>
          </w:tcPr>
          <w:p>
            <w:pPr>
              <w:ind w:left="180"/>
              <w:spacing w:after="0"/>
              <w:rPr>
                <w:sz w:val="20"/>
                <w:szCs w:val="20"/>
                <w:color w:val="auto"/>
              </w:rPr>
            </w:pPr>
            <w:r>
              <w:rPr>
                <w:rFonts w:ascii="Arial" w:cs="Arial" w:eastAsia="Arial" w:hAnsi="Arial"/>
                <w:sz w:val="18"/>
                <w:szCs w:val="18"/>
                <w:color w:val="auto"/>
              </w:rPr>
              <w:t>Defeasance and Covenant Defeasance upon Deposit of Moneys or U.S. Government Obligations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12.04</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to Company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12.05</w:t>
            </w:r>
          </w:p>
        </w:tc>
        <w:tc>
          <w:tcPr>
            <w:tcW w:w="9060" w:type="dxa"/>
            <w:vAlign w:val="bottom"/>
          </w:tcPr>
          <w:p>
            <w:pPr>
              <w:ind w:left="180"/>
              <w:spacing w:after="0"/>
              <w:rPr>
                <w:sz w:val="20"/>
                <w:szCs w:val="20"/>
                <w:color w:val="auto"/>
              </w:rPr>
            </w:pPr>
            <w:r>
              <w:rPr>
                <w:rFonts w:ascii="Arial" w:cs="Arial" w:eastAsia="Arial" w:hAnsi="Arial"/>
                <w:sz w:val="18"/>
                <w:szCs w:val="18"/>
                <w:color w:val="auto"/>
              </w:rPr>
              <w:t>Indemnity for U.S. Government Obligations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12.06</w:t>
            </w: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to Be Held in Escrow</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12.07</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Application of Trust Money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12.08</w:t>
            </w:r>
          </w:p>
        </w:tc>
        <w:tc>
          <w:tcPr>
            <w:tcW w:w="8240" w:type="dxa"/>
            <w:vAlign w:val="bottom"/>
          </w:tcPr>
          <w:p>
            <w:pPr>
              <w:ind w:left="180"/>
              <w:spacing w:after="0"/>
              <w:rPr>
                <w:sz w:val="20"/>
                <w:szCs w:val="20"/>
                <w:color w:val="auto"/>
              </w:rPr>
            </w:pPr>
            <w:r>
              <w:rPr>
                <w:rFonts w:ascii="Arial" w:cs="Arial" w:eastAsia="Arial" w:hAnsi="Arial"/>
                <w:sz w:val="18"/>
                <w:szCs w:val="18"/>
                <w:color w:val="auto"/>
              </w:rPr>
              <w:t>Deposits of Non-U.S. Currencies</w:t>
            </w:r>
          </w:p>
        </w:tc>
        <w:tc>
          <w:tcPr>
            <w:tcW w:w="19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jc w:val="center"/>
              <w:ind w:left="930"/>
              <w:spacing w:after="0"/>
              <w:rPr>
                <w:sz w:val="20"/>
                <w:szCs w:val="20"/>
                <w:color w:val="auto"/>
              </w:rPr>
            </w:pPr>
            <w:r>
              <w:rPr>
                <w:rFonts w:ascii="Arial" w:cs="Arial" w:eastAsia="Arial" w:hAnsi="Arial"/>
                <w:sz w:val="18"/>
                <w:szCs w:val="18"/>
                <w:color w:val="auto"/>
              </w:rPr>
              <w:t>ARTICLE XIII</w:t>
            </w: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jc w:val="center"/>
              <w:ind w:left="950"/>
              <w:spacing w:after="0"/>
              <w:rPr>
                <w:sz w:val="20"/>
                <w:szCs w:val="20"/>
                <w:color w:val="auto"/>
              </w:rPr>
            </w:pPr>
            <w:r>
              <w:rPr>
                <w:rFonts w:ascii="Arial" w:cs="Arial" w:eastAsia="Arial" w:hAnsi="Arial"/>
                <w:sz w:val="18"/>
                <w:szCs w:val="18"/>
                <w:color w:val="auto"/>
                <w:w w:val="95"/>
              </w:rPr>
              <w:t>IMMUNITY OF CERTAIN PERSONS</w:t>
            </w: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13.01</w:t>
            </w:r>
          </w:p>
        </w:tc>
        <w:tc>
          <w:tcPr>
            <w:tcW w:w="8240" w:type="dxa"/>
            <w:vAlign w:val="bottom"/>
          </w:tcPr>
          <w:p>
            <w:pPr>
              <w:ind w:left="180"/>
              <w:spacing w:after="0"/>
              <w:rPr>
                <w:sz w:val="20"/>
                <w:szCs w:val="20"/>
                <w:color w:val="auto"/>
              </w:rPr>
            </w:pPr>
            <w:r>
              <w:rPr>
                <w:rFonts w:ascii="Arial" w:cs="Arial" w:eastAsia="Arial" w:hAnsi="Arial"/>
                <w:sz w:val="18"/>
                <w:szCs w:val="18"/>
                <w:color w:val="auto"/>
              </w:rPr>
              <w:t>No Personal Liability</w:t>
            </w:r>
          </w:p>
        </w:tc>
        <w:tc>
          <w:tcPr>
            <w:tcW w:w="19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jc w:val="center"/>
              <w:ind w:left="950"/>
              <w:spacing w:after="0"/>
              <w:rPr>
                <w:sz w:val="20"/>
                <w:szCs w:val="20"/>
                <w:color w:val="auto"/>
              </w:rPr>
            </w:pPr>
            <w:r>
              <w:rPr>
                <w:rFonts w:ascii="Arial" w:cs="Arial" w:eastAsia="Arial" w:hAnsi="Arial"/>
                <w:sz w:val="18"/>
                <w:szCs w:val="18"/>
                <w:color w:val="auto"/>
              </w:rPr>
              <w:t>ARTICLE XIV</w:t>
            </w: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jc w:val="center"/>
              <w:ind w:left="950"/>
              <w:spacing w:after="0"/>
              <w:rPr>
                <w:sz w:val="20"/>
                <w:szCs w:val="20"/>
                <w:color w:val="auto"/>
              </w:rPr>
            </w:pPr>
            <w:r>
              <w:rPr>
                <w:rFonts w:ascii="Arial" w:cs="Arial" w:eastAsia="Arial" w:hAnsi="Arial"/>
                <w:sz w:val="18"/>
                <w:szCs w:val="18"/>
                <w:color w:val="auto"/>
                <w:w w:val="96"/>
              </w:rPr>
              <w:t>SUPPLEMENTAL INDENTURES</w:t>
            </w: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14.01</w:t>
            </w:r>
          </w:p>
        </w:tc>
        <w:tc>
          <w:tcPr>
            <w:tcW w:w="8240" w:type="dxa"/>
            <w:vAlign w:val="bottom"/>
          </w:tcPr>
          <w:p>
            <w:pPr>
              <w:ind w:left="180"/>
              <w:spacing w:after="0"/>
              <w:rPr>
                <w:sz w:val="20"/>
                <w:szCs w:val="20"/>
                <w:color w:val="auto"/>
              </w:rPr>
            </w:pPr>
            <w:r>
              <w:rPr>
                <w:rFonts w:ascii="Arial" w:cs="Arial" w:eastAsia="Arial" w:hAnsi="Arial"/>
                <w:sz w:val="18"/>
                <w:szCs w:val="18"/>
                <w:color w:val="auto"/>
              </w:rPr>
              <w:t>Without Consent of Securityholders</w:t>
            </w:r>
          </w:p>
        </w:tc>
        <w:tc>
          <w:tcPr>
            <w:tcW w:w="19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14.02</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Consent of Securityholders; Limitations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14.03</w:t>
            </w:r>
          </w:p>
        </w:tc>
        <w:tc>
          <w:tcPr>
            <w:tcW w:w="8240" w:type="dxa"/>
            <w:vAlign w:val="bottom"/>
          </w:tcPr>
          <w:p>
            <w:pPr>
              <w:ind w:left="180"/>
              <w:spacing w:after="0"/>
              <w:rPr>
                <w:sz w:val="20"/>
                <w:szCs w:val="20"/>
                <w:color w:val="auto"/>
              </w:rPr>
            </w:pPr>
            <w:r>
              <w:rPr>
                <w:rFonts w:ascii="Arial" w:cs="Arial" w:eastAsia="Arial" w:hAnsi="Arial"/>
                <w:sz w:val="18"/>
                <w:szCs w:val="18"/>
                <w:color w:val="auto"/>
              </w:rPr>
              <w:t>Trustee Protected</w:t>
            </w:r>
          </w:p>
        </w:tc>
        <w:tc>
          <w:tcPr>
            <w:tcW w:w="19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14.04</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Execution of Supplemental Indenture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14.05</w:t>
            </w:r>
          </w:p>
        </w:tc>
        <w:tc>
          <w:tcPr>
            <w:tcW w:w="8240" w:type="dxa"/>
            <w:vAlign w:val="bottom"/>
          </w:tcPr>
          <w:p>
            <w:pPr>
              <w:ind w:left="180"/>
              <w:spacing w:after="0"/>
              <w:rPr>
                <w:sz w:val="20"/>
                <w:szCs w:val="20"/>
                <w:color w:val="auto"/>
              </w:rPr>
            </w:pPr>
            <w:r>
              <w:rPr>
                <w:rFonts w:ascii="Arial" w:cs="Arial" w:eastAsia="Arial" w:hAnsi="Arial"/>
                <w:sz w:val="18"/>
                <w:szCs w:val="18"/>
                <w:color w:val="auto"/>
              </w:rPr>
              <w:t>Notation on or Exchange of Securities</w:t>
            </w: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14.06</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Conformity with TIA</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rPr>
              <w:t>ARTICLE XV</w:t>
            </w: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5"/>
              </w:rPr>
              <w:t>SUBORDINATION OF SECURITIES</w:t>
            </w: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15.01</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 to Subordinate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15.02</w:t>
            </w:r>
          </w:p>
        </w:tc>
        <w:tc>
          <w:tcPr>
            <w:tcW w:w="8240" w:type="dxa"/>
            <w:vAlign w:val="bottom"/>
          </w:tcPr>
          <w:p>
            <w:pPr>
              <w:ind w:left="180"/>
              <w:spacing w:after="0"/>
              <w:rPr>
                <w:sz w:val="20"/>
                <w:szCs w:val="20"/>
                <w:color w:val="auto"/>
              </w:rPr>
            </w:pPr>
            <w:r>
              <w:rPr>
                <w:rFonts w:ascii="Arial" w:cs="Arial" w:eastAsia="Arial" w:hAnsi="Arial"/>
                <w:sz w:val="18"/>
                <w:szCs w:val="18"/>
                <w:color w:val="auto"/>
              </w:rPr>
              <w:t>Distribution on Dissolution, Liquidation and Reorganization; Subrogation of Securities</w:t>
            </w: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15.03</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Payment on Securities in Event of Default on Senior Indebtedness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15.04</w:t>
            </w:r>
          </w:p>
        </w:tc>
        <w:tc>
          <w:tcPr>
            <w:tcW w:w="8240" w:type="dxa"/>
            <w:vAlign w:val="bottom"/>
          </w:tcPr>
          <w:p>
            <w:pPr>
              <w:ind w:left="180"/>
              <w:spacing w:after="0"/>
              <w:rPr>
                <w:sz w:val="20"/>
                <w:szCs w:val="20"/>
                <w:color w:val="auto"/>
              </w:rPr>
            </w:pPr>
            <w:r>
              <w:rPr>
                <w:rFonts w:ascii="Arial" w:cs="Arial" w:eastAsia="Arial" w:hAnsi="Arial"/>
                <w:sz w:val="18"/>
                <w:szCs w:val="18"/>
                <w:color w:val="auto"/>
              </w:rPr>
              <w:t>Payments on Securities Permitted</w:t>
            </w: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15.05</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Authorization of Securityholders to Trustee to Effect Subordination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15.06</w:t>
            </w:r>
          </w:p>
        </w:tc>
        <w:tc>
          <w:tcPr>
            <w:tcW w:w="8240" w:type="dxa"/>
            <w:vAlign w:val="bottom"/>
          </w:tcPr>
          <w:p>
            <w:pPr>
              <w:ind w:left="180"/>
              <w:spacing w:after="0"/>
              <w:rPr>
                <w:sz w:val="20"/>
                <w:szCs w:val="20"/>
                <w:color w:val="auto"/>
              </w:rPr>
            </w:pPr>
            <w:r>
              <w:rPr>
                <w:rFonts w:ascii="Arial" w:cs="Arial" w:eastAsia="Arial" w:hAnsi="Arial"/>
                <w:sz w:val="18"/>
                <w:szCs w:val="18"/>
                <w:color w:val="auto"/>
              </w:rPr>
              <w:t>Notices to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15.07</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Trustee as Holder of Senior Indebtedness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15.08</w:t>
            </w:r>
          </w:p>
        </w:tc>
        <w:tc>
          <w:tcPr>
            <w:tcW w:w="8240" w:type="dxa"/>
            <w:vAlign w:val="bottom"/>
          </w:tcPr>
          <w:p>
            <w:pPr>
              <w:ind w:left="180"/>
              <w:spacing w:after="0"/>
              <w:rPr>
                <w:sz w:val="20"/>
                <w:szCs w:val="20"/>
                <w:color w:val="auto"/>
              </w:rPr>
            </w:pPr>
            <w:r>
              <w:rPr>
                <w:rFonts w:ascii="Arial" w:cs="Arial" w:eastAsia="Arial" w:hAnsi="Arial"/>
                <w:sz w:val="18"/>
                <w:szCs w:val="18"/>
                <w:color w:val="auto"/>
              </w:rPr>
              <w:t>Modifications of Terms of Senior Indebtedness</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15.09</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Reliance on Judicial Order or Certificate of Liquidating Agent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15.10</w:t>
            </w:r>
          </w:p>
        </w:tc>
        <w:tc>
          <w:tcPr>
            <w:tcW w:w="8240" w:type="dxa"/>
            <w:vAlign w:val="bottom"/>
          </w:tcPr>
          <w:p>
            <w:pPr>
              <w:ind w:left="180"/>
              <w:spacing w:after="0"/>
              <w:rPr>
                <w:sz w:val="20"/>
                <w:szCs w:val="20"/>
                <w:color w:val="auto"/>
              </w:rPr>
            </w:pPr>
            <w:r>
              <w:rPr>
                <w:rFonts w:ascii="Arial" w:cs="Arial" w:eastAsia="Arial" w:hAnsi="Arial"/>
                <w:sz w:val="18"/>
                <w:szCs w:val="18"/>
                <w:color w:val="auto"/>
              </w:rPr>
              <w:t>Satisfaction and Discharge; Defeasance and Covenant Defeasance</w:t>
            </w: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15.11</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Trustee Not Fiduciary for Holders of Senior Indebtedness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rPr>
              <w:t>ARTICLE XVI</w:t>
            </w: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6"/>
              </w:rPr>
              <w:t>MISCELLANEOUS PROVISIONS</w:t>
            </w: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16.01</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and Opinions as to Conditions Precedent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16.02</w:t>
            </w:r>
          </w:p>
        </w:tc>
        <w:tc>
          <w:tcPr>
            <w:tcW w:w="8240" w:type="dxa"/>
            <w:vAlign w:val="bottom"/>
          </w:tcPr>
          <w:p>
            <w:pPr>
              <w:ind w:left="180"/>
              <w:spacing w:after="0"/>
              <w:rPr>
                <w:sz w:val="20"/>
                <w:szCs w:val="20"/>
                <w:color w:val="auto"/>
              </w:rPr>
            </w:pPr>
            <w:r>
              <w:rPr>
                <w:rFonts w:ascii="Arial" w:cs="Arial" w:eastAsia="Arial" w:hAnsi="Arial"/>
                <w:sz w:val="18"/>
                <w:szCs w:val="18"/>
                <w:color w:val="auto"/>
              </w:rPr>
              <w:t>Trust Indenture Act Controls</w:t>
            </w:r>
          </w:p>
        </w:tc>
        <w:tc>
          <w:tcPr>
            <w:tcW w:w="19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16.03</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Notices to the Company and Trustee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16.04</w:t>
            </w:r>
          </w:p>
        </w:tc>
        <w:tc>
          <w:tcPr>
            <w:tcW w:w="8240" w:type="dxa"/>
            <w:vAlign w:val="bottom"/>
          </w:tcPr>
          <w:p>
            <w:pPr>
              <w:ind w:left="180"/>
              <w:spacing w:after="0"/>
              <w:rPr>
                <w:sz w:val="20"/>
                <w:szCs w:val="20"/>
                <w:color w:val="auto"/>
              </w:rPr>
            </w:pPr>
            <w:r>
              <w:rPr>
                <w:rFonts w:ascii="Arial" w:cs="Arial" w:eastAsia="Arial" w:hAnsi="Arial"/>
                <w:sz w:val="18"/>
                <w:szCs w:val="18"/>
                <w:color w:val="auto"/>
              </w:rPr>
              <w:t>Notices to Securityholders; Waiver</w:t>
            </w:r>
          </w:p>
        </w:tc>
        <w:tc>
          <w:tcPr>
            <w:tcW w:w="19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16.05</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Holiday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16.06</w:t>
            </w:r>
          </w:p>
        </w:tc>
        <w:tc>
          <w:tcPr>
            <w:tcW w:w="8240" w:type="dxa"/>
            <w:vAlign w:val="bottom"/>
          </w:tcPr>
          <w:p>
            <w:pPr>
              <w:ind w:left="180"/>
              <w:spacing w:after="0"/>
              <w:rPr>
                <w:sz w:val="20"/>
                <w:szCs w:val="20"/>
                <w:color w:val="auto"/>
              </w:rPr>
            </w:pPr>
            <w:r>
              <w:rPr>
                <w:rFonts w:ascii="Arial" w:cs="Arial" w:eastAsia="Arial" w:hAnsi="Arial"/>
                <w:sz w:val="18"/>
                <w:szCs w:val="18"/>
                <w:color w:val="auto"/>
              </w:rPr>
              <w:t>Effects of Headings and Table of Contents</w:t>
            </w:r>
          </w:p>
        </w:tc>
        <w:tc>
          <w:tcPr>
            <w:tcW w:w="19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16.07</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Successors and Assigns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16.08</w:t>
            </w:r>
          </w:p>
        </w:tc>
        <w:tc>
          <w:tcPr>
            <w:tcW w:w="8240" w:type="dxa"/>
            <w:vAlign w:val="bottom"/>
          </w:tcPr>
          <w:p>
            <w:pPr>
              <w:ind w:left="180"/>
              <w:spacing w:after="0"/>
              <w:rPr>
                <w:sz w:val="20"/>
                <w:szCs w:val="20"/>
                <w:color w:val="auto"/>
              </w:rPr>
            </w:pPr>
            <w:r>
              <w:rPr>
                <w:rFonts w:ascii="Arial" w:cs="Arial" w:eastAsia="Arial" w:hAnsi="Arial"/>
                <w:sz w:val="18"/>
                <w:szCs w:val="18"/>
                <w:color w:val="auto"/>
              </w:rPr>
              <w:t>Separability Clause</w:t>
            </w:r>
          </w:p>
        </w:tc>
        <w:tc>
          <w:tcPr>
            <w:tcW w:w="19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16.09</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of Indenture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16.10</w:t>
            </w:r>
          </w:p>
        </w:tc>
        <w:tc>
          <w:tcPr>
            <w:tcW w:w="8240" w:type="dxa"/>
            <w:vAlign w:val="bottom"/>
          </w:tcPr>
          <w:p>
            <w:pPr>
              <w:ind w:left="180"/>
              <w:spacing w:after="0"/>
              <w:rPr>
                <w:sz w:val="20"/>
                <w:szCs w:val="20"/>
                <w:color w:val="auto"/>
              </w:rPr>
            </w:pPr>
            <w:r>
              <w:rPr>
                <w:rFonts w:ascii="Arial" w:cs="Arial" w:eastAsia="Arial" w:hAnsi="Arial"/>
                <w:sz w:val="18"/>
                <w:szCs w:val="18"/>
                <w:color w:val="auto"/>
              </w:rPr>
              <w:t>Counterparts Originals</w:t>
            </w:r>
          </w:p>
        </w:tc>
        <w:tc>
          <w:tcPr>
            <w:tcW w:w="19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16.11</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Governing Law; Waiver of Trial by Jury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Section 16.12</w:t>
            </w:r>
          </w:p>
        </w:tc>
        <w:tc>
          <w:tcPr>
            <w:tcW w:w="824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19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Section 16.13</w:t>
            </w: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 Patriot Act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8" w:name="page49"/>
    <w:bookmarkEnd w:id="48"/>
    <w:p>
      <w:pPr>
        <w:spacing w:after="0"/>
        <w:tabs>
          <w:tab w:leader="none" w:pos="2920" w:val="left"/>
          <w:tab w:leader="none" w:pos="3680" w:val="left"/>
        </w:tabs>
        <w:rPr>
          <w:sz w:val="20"/>
          <w:szCs w:val="20"/>
          <w:color w:val="auto"/>
        </w:rPr>
      </w:pPr>
      <w:r>
        <w:rPr>
          <w:rFonts w:ascii="Arial" w:cs="Arial" w:eastAsia="Arial" w:hAnsi="Arial"/>
          <w:sz w:val="22"/>
          <w:szCs w:val="22"/>
          <w:color w:val="auto"/>
        </w:rPr>
        <w:t>INDENTURE dated as of</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between New Fortress Energy LLC, a Delaware limited liability company (the</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“Company”), and U.S. Bank National Association, a national banking association, as trustee (the “Trustee”).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WITNESSETH:</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22"/>
          <w:szCs w:val="22"/>
          <w:color w:val="auto"/>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spacing w:after="0" w:line="21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WHEREAS, all things necessary to make this Indenture a valid and legally binding agreement of the Company, in accordance with its terms, have been done.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THIS INDENTURE WITNESSETH:</w:t>
      </w:r>
    </w:p>
    <w:p>
      <w:pPr>
        <w:spacing w:after="0" w:line="233" w:lineRule="exact"/>
        <w:rPr>
          <w:sz w:val="20"/>
          <w:szCs w:val="20"/>
          <w:color w:val="auto"/>
        </w:rPr>
      </w:pPr>
    </w:p>
    <w:p>
      <w:pPr>
        <w:ind w:right="460"/>
        <w:spacing w:after="0" w:line="328" w:lineRule="auto"/>
        <w:rPr>
          <w:sz w:val="20"/>
          <w:szCs w:val="20"/>
          <w:color w:val="auto"/>
        </w:rPr>
      </w:pPr>
      <w:r>
        <w:rPr>
          <w:rFonts w:ascii="Arial" w:cs="Arial" w:eastAsia="Arial" w:hAnsi="Arial"/>
          <w:sz w:val="19"/>
          <w:szCs w:val="19"/>
          <w:color w:val="auto"/>
        </w:rPr>
        <w:t>That, in consideration of the premises and the purchase of the Securities by the Holders thereof for the equal and proportionate benefit of all of the present and future Holders of the Securities, each party agrees and covenants as follows: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For all purposes of this Indenture, except as otherwise expressly provided or unless the context otherwise requires:</w:t>
      </w:r>
    </w:p>
    <w:p>
      <w:pPr>
        <w:spacing w:after="0" w:line="233" w:lineRule="exact"/>
        <w:rPr>
          <w:sz w:val="20"/>
          <w:szCs w:val="20"/>
          <w:color w:val="auto"/>
        </w:rPr>
      </w:pPr>
    </w:p>
    <w:p>
      <w:pPr>
        <w:ind w:left="1440" w:hanging="784"/>
        <w:spacing w:after="0"/>
        <w:tabs>
          <w:tab w:leader="none" w:pos="14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terms defined in this Article have the meanings assigned to them in this Article and include the plural as well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singular;</w:t>
      </w:r>
    </w:p>
    <w:p>
      <w:pPr>
        <w:spacing w:after="0" w:line="215" w:lineRule="exact"/>
        <w:rPr>
          <w:rFonts w:ascii="Arial" w:cs="Arial" w:eastAsia="Arial" w:hAnsi="Arial"/>
          <w:sz w:val="19"/>
          <w:szCs w:val="19"/>
          <w:color w:val="auto"/>
        </w:rPr>
      </w:pPr>
    </w:p>
    <w:p>
      <w:pPr>
        <w:ind w:right="120" w:firstLine="656"/>
        <w:spacing w:after="0"/>
        <w:tabs>
          <w:tab w:leader="none" w:pos="14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213" w:lineRule="exact"/>
        <w:rPr>
          <w:rFonts w:ascii="Arial" w:cs="Arial" w:eastAsia="Arial" w:hAnsi="Arial"/>
          <w:sz w:val="22"/>
          <w:szCs w:val="22"/>
          <w:color w:val="auto"/>
        </w:rPr>
      </w:pPr>
    </w:p>
    <w:p>
      <w:pPr>
        <w:ind w:right="160" w:firstLine="656"/>
        <w:spacing w:after="0" w:line="251" w:lineRule="auto"/>
        <w:tabs>
          <w:tab w:leader="none" w:pos="1428"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Indenture as a whole and not to any particular Article, Section or other subdivision; and</w:t>
      </w:r>
    </w:p>
    <w:p>
      <w:pPr>
        <w:spacing w:after="0" w:line="200" w:lineRule="exact"/>
        <w:rPr>
          <w:rFonts w:ascii="Arial" w:cs="Arial" w:eastAsia="Arial" w:hAnsi="Arial"/>
          <w:sz w:val="22"/>
          <w:szCs w:val="22"/>
          <w:color w:val="auto"/>
        </w:rPr>
      </w:pPr>
    </w:p>
    <w:p>
      <w:pPr>
        <w:ind w:right="620" w:firstLine="656"/>
        <w:spacing w:after="0" w:line="251" w:lineRule="auto"/>
        <w:tabs>
          <w:tab w:leader="none" w:pos="14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to “Article” or “Section” or other subdivision herein are references to an Article, Section or other subdivision of the Indenture, unless the context otherwise requires.</w:t>
      </w:r>
    </w:p>
    <w:p>
      <w:pPr>
        <w:spacing w:after="0" w:line="20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33"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Unless the context otherwise requires, the terms defined in this Section 1.01 shall for all purposes of this Indenture have the meanings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Affiliate:</w:t>
      </w:r>
    </w:p>
    <w:p>
      <w:pPr>
        <w:spacing w:after="0" w:line="240"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Authenticating Agent: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“Authenticating Agent” shall have the meaning assigned to it in Section 11.09.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239"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term “Board of Directors” shall mean either the board of directors of the Company or the executive or any other committee of that board duly authorized to act in respect hereof.</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Resolution:</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Day:</w:t>
      </w:r>
    </w:p>
    <w:p>
      <w:pPr>
        <w:spacing w:after="0" w:line="239"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other location are authorized or obligated by law or executive order to close.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Stock: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“Capital Stock” shall mean:</w:t>
      </w:r>
    </w:p>
    <w:p>
      <w:pPr>
        <w:spacing w:after="0" w:line="233" w:lineRule="exact"/>
        <w:rPr>
          <w:sz w:val="20"/>
          <w:szCs w:val="20"/>
          <w:color w:val="auto"/>
        </w:rPr>
      </w:pPr>
    </w:p>
    <w:p>
      <w:pPr>
        <w:ind w:left="1440" w:hanging="784"/>
        <w:spacing w:after="0"/>
        <w:tabs>
          <w:tab w:leader="none" w:pos="14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33" w:lineRule="exact"/>
        <w:rPr>
          <w:rFonts w:ascii="Arial" w:cs="Arial" w:eastAsia="Arial" w:hAnsi="Arial"/>
          <w:sz w:val="22"/>
          <w:szCs w:val="22"/>
          <w:color w:val="auto"/>
        </w:rPr>
      </w:pPr>
    </w:p>
    <w:p>
      <w:pPr>
        <w:ind w:right="860" w:firstLine="656"/>
        <w:spacing w:after="0" w:line="251" w:lineRule="auto"/>
        <w:tabs>
          <w:tab w:leader="none" w:pos="14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200" w:lineRule="exact"/>
        <w:rPr>
          <w:rFonts w:ascii="Arial" w:cs="Arial" w:eastAsia="Arial" w:hAnsi="Arial"/>
          <w:sz w:val="22"/>
          <w:szCs w:val="22"/>
          <w:color w:val="auto"/>
        </w:rPr>
      </w:pPr>
    </w:p>
    <w:p>
      <w:pPr>
        <w:ind w:right="600" w:firstLine="656"/>
        <w:spacing w:after="0" w:line="251" w:lineRule="auto"/>
        <w:tabs>
          <w:tab w:leader="none" w:pos="1428"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50" w:name="page51"/>
    <w:bookmarkEnd w:id="50"/>
    <w:p>
      <w:pPr>
        <w:ind w:right="100" w:firstLine="656"/>
        <w:spacing w:after="0" w:line="258" w:lineRule="auto"/>
        <w:tabs>
          <w:tab w:leader="none" w:pos="1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“Code” shall mean the Internal Revenue Code of 1986, as amended.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Order:</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term “Company Order” shall mean a written order signed in the name of the Company by the Chairman of the Board of Directors, Chief Executive Officer, Chief Financial Officer, President, Executive Vice President, Senior Vice President, Treasurer, Assistant Treasurer, Controller, Assistant Controller, Secretary or Assistant Secretary of the Company, and delivered to the Trustee.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Trust Office:</w:t>
      </w:r>
    </w:p>
    <w:p>
      <w:pPr>
        <w:spacing w:after="0" w:line="239"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The term “Corporate Trust Office,” or other similar term, shall mean the principal office of the Trustee at which at any particular time its corporate trust business shall be administered, which office at the date hereof is located at U.S. Bank National Association, 60 Livingston Avenue, St. Paul MN 55107-2292, Attention: Corporate Trust Services – Administrator for New Fortress Energy LLC,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“Currency” shall mean U.S. Dollars or Foreign Currency.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Default: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“Default” shall have the meaning assigned to it in Section 11.03.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Defaulted Interest: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“Defaulted Interest” shall have the same meaning assigned to it in Section 3.08(b).</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Depositary:</w:t>
      </w:r>
    </w:p>
    <w:p>
      <w:pPr>
        <w:spacing w:after="0" w:line="240"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The term “Depositary” shall mean, with respect to the Securities of any series issuable in whole or in part in the form of one or more Global Securities, each Person designated as Depositary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Designated Currency: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“Designated Currency” shall have the same meaning assigned to it in Section 3.12.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Discharged: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“Discharged” shall have the meaning assigned to it in Section 12.03.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DTC: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“DTC” shall mean The Depository Trust Company, Inc. and its successors.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 of Default: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“Event of Default” shall have the meaning specified in Section 7.01.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Act:</w:t>
      </w:r>
    </w:p>
    <w:p>
      <w:pPr>
        <w:spacing w:after="0" w:line="239"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Rate: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“Exchange Rate” shall have the meaning assigned to it in Section 7.01.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Floating Rate Security:</w:t>
      </w:r>
    </w:p>
    <w:p>
      <w:pPr>
        <w:spacing w:after="0" w:line="239"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term “Floating Rate Security” shall mean a Security that provides for the payment of interest at a variable rate determined periodically by reference to an interest rate index specified pursuant to Section 3.01.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w:t>
      </w:r>
    </w:p>
    <w:p>
      <w:pPr>
        <w:spacing w:after="0" w:line="239"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GAAP:</w:t>
      </w:r>
    </w:p>
    <w:p>
      <w:pPr>
        <w:spacing w:after="0" w:line="240"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 xml:space="preserve">The term “GAAP,” with respect to any computations required or permitted hereunder, shall mean generally accepted accounting principles in effect in the United States as in effect from time to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Global Security:</w:t>
      </w:r>
    </w:p>
    <w:p>
      <w:pPr>
        <w:spacing w:after="0" w:line="239"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 Holder of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terms “Holder” and “Holder of Securities” are defined under “Securityholder; Holder of Securities; Holder.”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Indebtedness:</w:t>
      </w:r>
    </w:p>
    <w:p>
      <w:pPr>
        <w:spacing w:after="0" w:line="239" w:lineRule="exact"/>
        <w:rPr>
          <w:sz w:val="20"/>
          <w:szCs w:val="20"/>
          <w:color w:val="auto"/>
        </w:rPr>
      </w:pPr>
    </w:p>
    <w:p>
      <w:pPr>
        <w:jc w:val="both"/>
        <w:ind w:right="360"/>
        <w:spacing w:after="0" w:line="328" w:lineRule="auto"/>
        <w:rPr>
          <w:sz w:val="20"/>
          <w:szCs w:val="20"/>
          <w:color w:val="auto"/>
        </w:rPr>
      </w:pPr>
      <w:r>
        <w:rPr>
          <w:rFonts w:ascii="Arial" w:cs="Arial" w:eastAsia="Arial" w:hAnsi="Arial"/>
          <w:sz w:val="19"/>
          <w:szCs w:val="19"/>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Indenture:</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Individual Securities: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The term “Individual Securities” shall have the meaning specified in Section 3.01(p).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39" w:lineRule="exact"/>
        <w:rPr>
          <w:sz w:val="20"/>
          <w:szCs w:val="20"/>
          <w:color w:val="auto"/>
        </w:rPr>
      </w:pPr>
    </w:p>
    <w:p>
      <w:pPr>
        <w:ind w:right="400"/>
        <w:spacing w:after="0" w:line="328" w:lineRule="auto"/>
        <w:rPr>
          <w:sz w:val="20"/>
          <w:szCs w:val="20"/>
          <w:color w:val="auto"/>
        </w:rPr>
      </w:pPr>
      <w:r>
        <w:rPr>
          <w:rFonts w:ascii="Arial" w:cs="Arial" w:eastAsia="Arial" w:hAnsi="Arial"/>
          <w:sz w:val="19"/>
          <w:szCs w:val="19"/>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Payment Date:</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term “Interest Payment Date” shall mean, with respect to any Security, the Stated Maturity of an installment of interest on such Security.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Sinking Fund Payment: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“Mandatory Sinking Fund Payment” shall have the meaning assigned to it in Section 5.01(b).</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Maturity:</w:t>
      </w:r>
    </w:p>
    <w:p>
      <w:pPr>
        <w:spacing w:after="0" w:line="239"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“Members” shall have the meaning assigned to it in Section 3.03(i).</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Officer’s Certificate:</w:t>
      </w:r>
    </w:p>
    <w:p>
      <w:pPr>
        <w:spacing w:after="0" w:line="239" w:lineRule="exact"/>
        <w:rPr>
          <w:sz w:val="20"/>
          <w:szCs w:val="20"/>
          <w:color w:val="auto"/>
        </w:rPr>
      </w:pPr>
    </w:p>
    <w:p>
      <w:pPr>
        <w:jc w:val="both"/>
        <w:ind w:right="40"/>
        <w:spacing w:after="0" w:line="252" w:lineRule="auto"/>
        <w:rPr>
          <w:sz w:val="20"/>
          <w:szCs w:val="20"/>
          <w:color w:val="auto"/>
        </w:rPr>
      </w:pPr>
      <w:r>
        <w:rPr>
          <w:rFonts w:ascii="Arial" w:cs="Arial" w:eastAsia="Arial" w:hAnsi="Arial"/>
          <w:sz w:val="21"/>
          <w:szCs w:val="21"/>
          <w:color w:val="auto"/>
        </w:rPr>
        <w:t>The term “Officer’s Certificate” shall mean a certificate signed by any of the Chairman of the Board of Directors, Chief Executive Officer, Chief Financial Officer the President or a Vice President, Treasurer, an Assistant Treasurer, the Controller, the Secretary or an Assistant Secretary of the Company and delivered to the Trustee. Each such certificate shall include the statements provided for in Section 16.01 if and to the extent required by the provisions of such Section.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Opinion of Counsel:</w:t>
      </w:r>
    </w:p>
    <w:p>
      <w:pPr>
        <w:spacing w:after="0" w:line="240"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The term “Opinion of Counsel” shall mean an opinion in writing signed by one or more legal counsel, who may be an employee of or of counsel to the Company, or may be one or more other counsel that meets the requirements provided for in Section 16.01.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Sinking Fund Payment: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“Optional Sinking Fund Payment” shall have the meaning assigned to it in Section 5.01(b).</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Original Issue Discount Security:</w:t>
      </w:r>
    </w:p>
    <w:p>
      <w:pPr>
        <w:spacing w:after="0" w:line="239" w:lineRule="exact"/>
        <w:rPr>
          <w:sz w:val="20"/>
          <w:szCs w:val="20"/>
          <w:color w:val="auto"/>
        </w:rPr>
      </w:pPr>
    </w:p>
    <w:p>
      <w:pPr>
        <w:jc w:val="both"/>
        <w:ind w:right="700"/>
        <w:spacing w:after="0" w:line="297" w:lineRule="auto"/>
        <w:rPr>
          <w:sz w:val="20"/>
          <w:szCs w:val="20"/>
          <w:color w:val="auto"/>
        </w:rPr>
      </w:pPr>
      <w:r>
        <w:rPr>
          <w:rFonts w:ascii="Arial" w:cs="Arial" w:eastAsia="Arial" w:hAnsi="Arial"/>
          <w:sz w:val="19"/>
          <w:szCs w:val="19"/>
          <w:color w:val="auto"/>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w:t>
      </w:r>
    </w:p>
    <w:p>
      <w:pPr>
        <w:spacing w:after="0" w:line="239"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term “Outstanding,” when used with respect to Securities means, as of the date of determination, all Securities theretofore authenticated and delivered under this Indenture, except:</w:t>
      </w:r>
    </w:p>
    <w:p>
      <w:pPr>
        <w:spacing w:after="0" w:line="200" w:lineRule="exact"/>
        <w:rPr>
          <w:sz w:val="20"/>
          <w:szCs w:val="20"/>
          <w:color w:val="auto"/>
        </w:rPr>
      </w:pPr>
    </w:p>
    <w:p>
      <w:pPr>
        <w:ind w:left="1440" w:hanging="784"/>
        <w:spacing w:after="0"/>
        <w:tabs>
          <w:tab w:leader="none" w:pos="14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Securities theretofore canceled by the Trustee or delivered to the Trustee for cancellation;</w:t>
      </w:r>
    </w:p>
    <w:p>
      <w:pPr>
        <w:spacing w:after="0" w:line="233" w:lineRule="exact"/>
        <w:rPr>
          <w:rFonts w:ascii="Arial" w:cs="Arial" w:eastAsia="Arial" w:hAnsi="Arial"/>
          <w:sz w:val="22"/>
          <w:szCs w:val="22"/>
          <w:color w:val="auto"/>
        </w:rPr>
      </w:pPr>
    </w:p>
    <w:p>
      <w:pPr>
        <w:ind w:right="60" w:firstLine="656"/>
        <w:spacing w:after="0" w:line="235" w:lineRule="auto"/>
        <w:tabs>
          <w:tab w:leader="none" w:pos="14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such Securities or portions thereof are to be redeemed, notice of such redemption has been duly given pursuant to this Indenture or provision therefor satisfactory to the Trustee has been made; and</w:t>
      </w:r>
    </w:p>
    <w:p>
      <w:pPr>
        <w:spacing w:after="0" w:line="215" w:lineRule="exact"/>
        <w:rPr>
          <w:rFonts w:ascii="Arial" w:cs="Arial" w:eastAsia="Arial" w:hAnsi="Arial"/>
          <w:sz w:val="22"/>
          <w:szCs w:val="22"/>
          <w:color w:val="auto"/>
        </w:rPr>
      </w:pPr>
    </w:p>
    <w:p>
      <w:pPr>
        <w:ind w:right="20" w:firstLine="656"/>
        <w:spacing w:after="0" w:line="252" w:lineRule="auto"/>
        <w:tabs>
          <w:tab w:leader="none" w:pos="1428" w:val="left"/>
        </w:tabs>
        <w:numPr>
          <w:ilvl w:val="0"/>
          <w:numId w:val="40"/>
        </w:numPr>
        <w:rPr>
          <w:rFonts w:ascii="Arial" w:cs="Arial" w:eastAsia="Arial" w:hAnsi="Arial"/>
          <w:sz w:val="21"/>
          <w:szCs w:val="21"/>
          <w:color w:val="auto"/>
        </w:rPr>
      </w:pPr>
      <w:r>
        <w:rPr>
          <w:rFonts w:ascii="Arial" w:cs="Arial" w:eastAsia="Arial" w:hAnsi="Arial"/>
          <w:sz w:val="21"/>
          <w:szCs w:val="21"/>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determining whether the Holders of the requisite principal amount of Securities of a series Outstanding have performed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Paying Agent: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The term “Paying Agent” shall have the meaning assigned to it in Section 6.02(a).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w:t>
      </w:r>
    </w:p>
    <w:p>
      <w:pPr>
        <w:spacing w:after="0" w:line="239"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The term “Person” shall mean an individual, a corporation, a limited liability company, a partnership, an association, a joint stock company, a trust, an unincorporated organization or a government or an agency or political subdivision thereof.</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Place of Payment:</w:t>
      </w:r>
    </w:p>
    <w:p>
      <w:pPr>
        <w:spacing w:after="0" w:line="239" w:lineRule="exact"/>
        <w:rPr>
          <w:sz w:val="20"/>
          <w:szCs w:val="20"/>
          <w:color w:val="auto"/>
        </w:rPr>
      </w:pPr>
    </w:p>
    <w:p>
      <w:pPr>
        <w:jc w:val="both"/>
        <w:ind w:right="520"/>
        <w:spacing w:after="0" w:line="328" w:lineRule="auto"/>
        <w:rPr>
          <w:sz w:val="20"/>
          <w:szCs w:val="20"/>
          <w:color w:val="auto"/>
        </w:rPr>
      </w:pPr>
      <w:r>
        <w:rPr>
          <w:rFonts w:ascii="Arial" w:cs="Arial" w:eastAsia="Arial" w:hAnsi="Arial"/>
          <w:sz w:val="19"/>
          <w:szCs w:val="19"/>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Predecessor Security:</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Date:</w:t>
      </w:r>
    </w:p>
    <w:p>
      <w:pPr>
        <w:spacing w:after="0" w:line="239"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The term “Record Date” shall mean, with respect to any interest payable on any Security on any Interest Payment Date, the close of business on any date specified in such Security for the payment of interest pursuant to Section 3.01.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Date:</w:t>
      </w:r>
    </w:p>
    <w:p>
      <w:pPr>
        <w:spacing w:after="0" w:line="239"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Redemption Price:</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term “Redemption Price,” when used with respect to any Security to be redeemed, in whole or in part, shall mean the price at which it is to be redeemed pursuant to the terms of the applicable Security and this Indenture.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“Register” shall have the meaning assigned to it in Section 3.05(a).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“Registrar” shall have the meaning assigned to it in Section 3.05(a).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Responsible Officers:</w:t>
      </w:r>
    </w:p>
    <w:p>
      <w:pPr>
        <w:spacing w:after="0" w:line="239"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The term “Responsible Officers” of the Trustee hereunder shall mean any vice president, any assistant vice president, any trust officer, any assistant trust officer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The term “SEC” shall mean the United States Securities and Exchange Commission, as constituted from time to time.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Act:</w:t>
      </w:r>
    </w:p>
    <w:p>
      <w:pPr>
        <w:spacing w:after="0" w:line="239"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The term “Securities Act” shall mean the United States Securities Act of 1933 and the rules and regulations promulgated by the SEC thereunder and any statute successor thereto, in each case as amended from time to time.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w:t>
      </w:r>
    </w:p>
    <w:p>
      <w:pPr>
        <w:spacing w:after="0" w:line="239"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Custodian:</w:t>
      </w:r>
    </w:p>
    <w:p>
      <w:pPr>
        <w:spacing w:after="0" w:line="239"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term “Security Custodian” shall mean the custodian with respect to any Global Security appointed by the Depositary, or any successor Person thereto, and shall initially be the Trustee.</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12" w:right="4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Securityholder; Holder of Securities; Holder:</w:t>
      </w:r>
    </w:p>
    <w:p>
      <w:pPr>
        <w:spacing w:after="0" w:line="240"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The term “Securityholder” or “Holder of Securities” or “Holder,” shall mean the Person in whose name Securities shall be registered in the Register kept for that purpose hereunder.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Indebtedness: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w:t>
      </w:r>
    </w:p>
    <w:p>
      <w:pPr>
        <w:spacing w:after="0" w:line="4" w:lineRule="exact"/>
        <w:rPr>
          <w:sz w:val="20"/>
          <w:szCs w:val="20"/>
          <w:color w:val="auto"/>
        </w:rPr>
      </w:pPr>
    </w:p>
    <w:p>
      <w:pPr>
        <w:ind w:right="60" w:firstLine="8"/>
        <w:spacing w:after="0" w:line="273" w:lineRule="auto"/>
        <w:tabs>
          <w:tab w:leader="none" w:pos="294"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Indebtedness to any employee of the Company, (d) any liability for taxes, (e) 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Record Date: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“Special Record Date” shall have the meaning assigned to it in Section 3.08(b)(i).</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Stated Maturity:</w:t>
      </w:r>
    </w:p>
    <w:p>
      <w:pPr>
        <w:spacing w:after="0" w:line="239"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“Subsidiary,” when used with respect to any Person, shall mean:</w:t>
      </w:r>
    </w:p>
    <w:p>
      <w:pPr>
        <w:spacing w:after="0" w:line="233" w:lineRule="exact"/>
        <w:rPr>
          <w:sz w:val="20"/>
          <w:szCs w:val="20"/>
          <w:color w:val="auto"/>
        </w:rPr>
      </w:pPr>
    </w:p>
    <w:p>
      <w:pPr>
        <w:ind w:firstLine="656"/>
        <w:spacing w:after="0" w:line="282" w:lineRule="auto"/>
        <w:tabs>
          <w:tab w:leader="none" w:pos="1428"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limited liability company, association or other business entity is at the time owned or controlled, directly or indirectly, by that Person or one or more of the other Subsidiaries of that Person (or a combination thereof); and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58" w:name="page59"/>
    <w:bookmarkEnd w:id="58"/>
    <w:p>
      <w:pPr>
        <w:ind w:firstLine="656"/>
        <w:spacing w:after="0" w:line="241" w:lineRule="auto"/>
        <w:tabs>
          <w:tab w:leader="none" w:pos="14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partnership (i) the sole general partner or the managing general partner of which is such Person or a Subsidiary of such Person or (ii) the only general partners of which are that Person or one or more Subsidiaries of that Person (or any combination thereof).</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Successor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“Successor Company” shall have the meaning assigned to it in Section 3.06(i).</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 Payables:</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 Indenture Act; TIA:</w:t>
      </w:r>
    </w:p>
    <w:p>
      <w:pPr>
        <w:spacing w:after="0" w:line="239"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Trustee:</w:t>
      </w:r>
    </w:p>
    <w:p>
      <w:pPr>
        <w:spacing w:after="0" w:line="239"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w:t>
      </w:r>
    </w:p>
    <w:p>
      <w:pPr>
        <w:spacing w:after="0" w:line="239"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The term “U.S. Dollars” shall mean such currency of the United States as at the time of payment shall be legal tender for the payment of public and private debts.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Government Obligations: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“U.S. Government Obligations” shall have the meaning assigned to it in Section 12.03.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States:</w:t>
      </w: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term “United States” shall mean the United States of America (including the States and the District of Columbia), its territories and its possessions and other areas subject to its jurisdiction.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ARTICLE 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FORMS OF SECURITIES</w:t>
      </w:r>
    </w:p>
    <w:p>
      <w:pPr>
        <w:spacing w:after="0" w:line="23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Terms of the Securities</w:t>
      </w:r>
      <w:r>
        <w:rPr>
          <w:rFonts w:ascii="Arial" w:cs="Arial" w:eastAsia="Arial" w:hAnsi="Arial"/>
          <w:sz w:val="19"/>
          <w:szCs w:val="19"/>
          <w:color w:val="auto"/>
        </w:rPr>
        <w:t>.</w:t>
      </w:r>
    </w:p>
    <w:p>
      <w:pPr>
        <w:spacing w:after="0" w:line="233" w:lineRule="exact"/>
        <w:rPr>
          <w:sz w:val="20"/>
          <w:szCs w:val="20"/>
          <w:color w:val="auto"/>
        </w:rPr>
      </w:pPr>
    </w:p>
    <w:p>
      <w:pPr>
        <w:ind w:right="80" w:firstLine="1305"/>
        <w:spacing w:after="0" w:line="275" w:lineRule="auto"/>
        <w:tabs>
          <w:tab w:leader="none" w:pos="2076"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185" w:lineRule="exact"/>
        <w:rPr>
          <w:rFonts w:ascii="Arial" w:cs="Arial" w:eastAsia="Arial" w:hAnsi="Arial"/>
          <w:sz w:val="19"/>
          <w:szCs w:val="19"/>
          <w:color w:val="auto"/>
        </w:rPr>
      </w:pPr>
    </w:p>
    <w:p>
      <w:pPr>
        <w:ind w:right="260" w:firstLine="1305"/>
        <w:spacing w:after="0"/>
        <w:tabs>
          <w:tab w:leader="none" w:pos="2089"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21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Form of Trustee’s Certificate of Authentication</w:t>
      </w:r>
      <w:r>
        <w:rPr>
          <w:rFonts w:ascii="Arial" w:cs="Arial" w:eastAsia="Arial" w:hAnsi="Arial"/>
          <w:sz w:val="19"/>
          <w:szCs w:val="19"/>
          <w:color w:val="auto"/>
        </w:rPr>
        <w:t>.</w:t>
      </w:r>
    </w:p>
    <w:p>
      <w:pPr>
        <w:spacing w:after="0" w:line="233" w:lineRule="exact"/>
        <w:rPr>
          <w:sz w:val="20"/>
          <w:szCs w:val="20"/>
          <w:color w:val="auto"/>
        </w:rPr>
      </w:pPr>
    </w:p>
    <w:p>
      <w:pPr>
        <w:ind w:right="280" w:firstLine="1305"/>
        <w:spacing w:after="0"/>
        <w:tabs>
          <w:tab w:leader="none" w:pos="2076" w:val="left"/>
        </w:tabs>
        <w:numPr>
          <w:ilvl w:val="0"/>
          <w:numId w:val="45"/>
        </w:numPr>
        <w:rPr>
          <w:rFonts w:ascii="Arial" w:cs="Arial" w:eastAsia="Arial" w:hAnsi="Arial"/>
          <w:sz w:val="22"/>
          <w:szCs w:val="22"/>
          <w:color w:val="auto"/>
        </w:rPr>
      </w:pPr>
      <w:r>
        <w:rPr>
          <w:rFonts w:ascii="Arial" w:cs="Arial" w:eastAsia="Arial" w:hAnsi="Arial"/>
          <w:sz w:val="22"/>
          <w:szCs w:val="22"/>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213" w:lineRule="exact"/>
        <w:rPr>
          <w:rFonts w:ascii="Arial" w:cs="Arial" w:eastAsia="Arial" w:hAnsi="Arial"/>
          <w:sz w:val="22"/>
          <w:szCs w:val="22"/>
          <w:color w:val="auto"/>
        </w:rPr>
      </w:pPr>
    </w:p>
    <w:p>
      <w:pPr>
        <w:ind w:right="60" w:firstLine="1305"/>
        <w:spacing w:after="0" w:line="251" w:lineRule="auto"/>
        <w:tabs>
          <w:tab w:leader="none" w:pos="2089" w:val="left"/>
        </w:tabs>
        <w:numPr>
          <w:ilvl w:val="0"/>
          <w:numId w:val="45"/>
        </w:numPr>
        <w:rPr>
          <w:rFonts w:ascii="Arial" w:cs="Arial" w:eastAsia="Arial" w:hAnsi="Arial"/>
          <w:sz w:val="22"/>
          <w:szCs w:val="22"/>
          <w:color w:val="auto"/>
        </w:rPr>
      </w:pPr>
      <w:r>
        <w:rPr>
          <w:rFonts w:ascii="Arial" w:cs="Arial" w:eastAsia="Arial" w:hAnsi="Arial"/>
          <w:sz w:val="22"/>
          <w:szCs w:val="22"/>
          <w:color w:val="auto"/>
        </w:rPr>
        <w:t>Each Security shall be dated the date of its authentication, except that any Global Security shall be dated as of the date specified as contemplated in Section 3.01.</w:t>
      </w:r>
    </w:p>
    <w:p>
      <w:pPr>
        <w:spacing w:after="0" w:line="200" w:lineRule="exact"/>
        <w:rPr>
          <w:rFonts w:ascii="Arial" w:cs="Arial" w:eastAsia="Arial" w:hAnsi="Arial"/>
          <w:sz w:val="22"/>
          <w:szCs w:val="22"/>
          <w:color w:val="auto"/>
        </w:rPr>
      </w:pPr>
    </w:p>
    <w:p>
      <w:pPr>
        <w:ind w:left="2080" w:hanging="775"/>
        <w:spacing w:after="0"/>
        <w:tabs>
          <w:tab w:leader="none" w:pos="20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form of the Trustee’s certificate of authentication to be borne by the Securities shall be substantially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w w:val="93"/>
              </w:rPr>
              <w:t>Date of authentication:</w:t>
            </w:r>
          </w:p>
        </w:tc>
        <w:tc>
          <w:tcPr>
            <w:tcW w:w="860" w:type="dxa"/>
            <w:vAlign w:val="bottom"/>
            <w:tcBorders>
              <w:bottom w:val="single" w:sz="8" w:color="auto"/>
            </w:tcBorders>
          </w:tcPr>
          <w:p>
            <w:pPr>
              <w:spacing w:after="0"/>
              <w:rPr>
                <w:sz w:val="18"/>
                <w:szCs w:val="18"/>
                <w:color w:val="auto"/>
              </w:rPr>
            </w:pPr>
          </w:p>
        </w:tc>
        <w:tc>
          <w:tcPr>
            <w:tcW w:w="8860" w:type="dxa"/>
            <w:vAlign w:val="bottom"/>
            <w:gridSpan w:val="2"/>
          </w:tcPr>
          <w:p>
            <w:pPr>
              <w:ind w:left="3160"/>
              <w:spacing w:after="0"/>
              <w:rPr>
                <w:sz w:val="20"/>
                <w:szCs w:val="20"/>
                <w:color w:val="auto"/>
              </w:rPr>
            </w:pPr>
            <w:r>
              <w:rPr>
                <w:rFonts w:ascii="Arial" w:cs="Arial" w:eastAsia="Arial" w:hAnsi="Arial"/>
                <w:sz w:val="18"/>
                <w:szCs w:val="18"/>
                <w:color w:val="auto"/>
              </w:rPr>
              <w:t>U.S. Bank National Association,</w:t>
            </w:r>
          </w:p>
        </w:tc>
      </w:tr>
      <w:tr>
        <w:trPr>
          <w:trHeight w:val="237"/>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60" w:type="dxa"/>
            <w:vAlign w:val="bottom"/>
            <w:gridSpan w:val="2"/>
          </w:tcPr>
          <w:p>
            <w:pPr>
              <w:ind w:left="3160"/>
              <w:spacing w:after="0"/>
              <w:rPr>
                <w:sz w:val="20"/>
                <w:szCs w:val="20"/>
                <w:color w:val="auto"/>
              </w:rPr>
            </w:pPr>
            <w:r>
              <w:rPr>
                <w:rFonts w:ascii="Arial" w:cs="Arial" w:eastAsia="Arial" w:hAnsi="Arial"/>
                <w:sz w:val="18"/>
                <w:szCs w:val="18"/>
                <w:color w:val="auto"/>
              </w:rPr>
              <w:t>as Trustee</w:t>
            </w:r>
          </w:p>
        </w:tc>
      </w:tr>
      <w:tr>
        <w:trPr>
          <w:trHeight w:val="453"/>
        </w:trPr>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60" w:type="dxa"/>
            <w:vAlign w:val="bottom"/>
            <w:gridSpan w:val="2"/>
          </w:tcPr>
          <w:p>
            <w:pPr>
              <w:ind w:left="3160"/>
              <w:spacing w:after="0"/>
              <w:rPr>
                <w:sz w:val="20"/>
                <w:szCs w:val="20"/>
                <w:color w:val="auto"/>
              </w:rPr>
            </w:pPr>
            <w:r>
              <w:rPr>
                <w:rFonts w:ascii="Arial" w:cs="Arial" w:eastAsia="Arial" w:hAnsi="Arial"/>
                <w:sz w:val="18"/>
                <w:szCs w:val="18"/>
                <w:color w:val="auto"/>
              </w:rPr>
              <w:t>By:</w:t>
            </w:r>
          </w:p>
        </w:tc>
      </w:tr>
      <w:tr>
        <w:trPr>
          <w:trHeight w:val="230"/>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568"/>
        </w:trPr>
        <w:tc>
          <w:tcPr>
            <w:tcW w:w="1700" w:type="dxa"/>
            <w:vAlign w:val="bottom"/>
          </w:tcPr>
          <w:p>
            <w:pPr>
              <w:spacing w:after="0"/>
              <w:rPr>
                <w:sz w:val="24"/>
                <w:szCs w:val="24"/>
                <w:color w:val="auto"/>
              </w:rPr>
            </w:pPr>
          </w:p>
        </w:tc>
        <w:tc>
          <w:tcPr>
            <w:tcW w:w="4360" w:type="dxa"/>
            <w:vAlign w:val="bottom"/>
            <w:gridSpan w:val="2"/>
          </w:tcPr>
          <w:p>
            <w:pPr>
              <w:jc w:val="right"/>
              <w:ind w:right="190"/>
              <w:spacing w:after="0"/>
              <w:rPr>
                <w:sz w:val="20"/>
                <w:szCs w:val="20"/>
                <w:color w:val="auto"/>
              </w:rPr>
            </w:pPr>
            <w:r>
              <w:rPr>
                <w:rFonts w:ascii="Arial" w:cs="Arial" w:eastAsia="Arial" w:hAnsi="Arial"/>
                <w:sz w:val="14"/>
                <w:szCs w:val="14"/>
                <w:color w:val="auto"/>
              </w:rPr>
              <w:t>12</w:t>
            </w:r>
          </w:p>
        </w:tc>
        <w:tc>
          <w:tcPr>
            <w:tcW w:w="5360" w:type="dxa"/>
            <w:vAlign w:val="bottom"/>
          </w:tcPr>
          <w:p>
            <w:pPr>
              <w:spacing w:after="0"/>
              <w:rPr>
                <w:sz w:val="24"/>
                <w:szCs w:val="24"/>
                <w:color w:val="auto"/>
              </w:rPr>
            </w:pPr>
          </w:p>
        </w:tc>
      </w:tr>
      <w:tr>
        <w:trPr>
          <w:trHeight w:val="46"/>
        </w:trPr>
        <w:tc>
          <w:tcPr>
            <w:tcW w:w="17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2" w:right="239" w:bottom="1440" w:gutter="0" w:footer="0" w:header="0"/>
        </w:sectPr>
      </w:pPr>
    </w:p>
    <w:bookmarkStart w:id="60" w:name="page61"/>
    <w:bookmarkEnd w:id="60"/>
    <w:p>
      <w:pPr>
        <w:jc w:val="both"/>
        <w:ind w:right="100" w:firstLine="648"/>
        <w:spacing w:after="0" w:line="298"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Form of Trustee’s Certificate of Authentication by an Authenticating Agent</w:t>
      </w:r>
      <w:r>
        <w:rPr>
          <w:rFonts w:ascii="Arial" w:cs="Arial" w:eastAsia="Arial" w:hAnsi="Arial"/>
          <w:sz w:val="19"/>
          <w:szCs w:val="19"/>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w w:val="93"/>
              </w:rPr>
              <w:t>Date of authentication:</w:t>
            </w:r>
          </w:p>
        </w:tc>
        <w:tc>
          <w:tcPr>
            <w:tcW w:w="860" w:type="dxa"/>
            <w:vAlign w:val="bottom"/>
            <w:tcBorders>
              <w:bottom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6940" w:type="dxa"/>
            <w:vAlign w:val="bottom"/>
            <w:gridSpan w:val="3"/>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237"/>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940" w:type="dxa"/>
            <w:vAlign w:val="bottom"/>
            <w:gridSpan w:val="3"/>
          </w:tcPr>
          <w:p>
            <w:pPr>
              <w:ind w:left="1240"/>
              <w:spacing w:after="0"/>
              <w:rPr>
                <w:sz w:val="20"/>
                <w:szCs w:val="20"/>
                <w:color w:val="auto"/>
              </w:rPr>
            </w:pPr>
            <w:r>
              <w:rPr>
                <w:rFonts w:ascii="Arial" w:cs="Arial" w:eastAsia="Arial" w:hAnsi="Arial"/>
                <w:sz w:val="18"/>
                <w:szCs w:val="18"/>
                <w:color w:val="auto"/>
              </w:rPr>
              <w:t>as Trustee</w:t>
            </w:r>
          </w:p>
        </w:tc>
      </w:tr>
      <w:tr>
        <w:trPr>
          <w:trHeight w:val="453"/>
        </w:trPr>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940" w:type="dxa"/>
            <w:vAlign w:val="bottom"/>
            <w:gridSpan w:val="3"/>
          </w:tcPr>
          <w:p>
            <w:pPr>
              <w:ind w:left="1240"/>
              <w:spacing w:after="0"/>
              <w:rPr>
                <w:sz w:val="20"/>
                <w:szCs w:val="20"/>
                <w:color w:val="auto"/>
              </w:rPr>
            </w:pPr>
            <w:r>
              <w:rPr>
                <w:rFonts w:ascii="Arial" w:cs="Arial" w:eastAsia="Arial" w:hAnsi="Arial"/>
                <w:sz w:val="18"/>
                <w:szCs w:val="18"/>
                <w:color w:val="auto"/>
              </w:rPr>
              <w:t>By: [NAME OF AUTHENTICATING AGENT]</w:t>
            </w:r>
          </w:p>
        </w:tc>
      </w:tr>
      <w:tr>
        <w:trPr>
          <w:trHeight w:val="230"/>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Authenticating Agent</w:t>
            </w:r>
          </w:p>
        </w:tc>
      </w:tr>
      <w:tr>
        <w:trPr>
          <w:trHeight w:val="438"/>
        </w:trPr>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94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30"/>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Authorized Signatory</w:t>
            </w:r>
          </w:p>
        </w:tc>
      </w:tr>
      <w:tr>
        <w:trPr>
          <w:trHeight w:val="482"/>
        </w:trPr>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940" w:type="dxa"/>
            <w:vAlign w:val="bottom"/>
            <w:gridSpan w:val="3"/>
          </w:tcPr>
          <w:p>
            <w:pPr>
              <w:ind w:left="600"/>
              <w:spacing w:after="0"/>
              <w:rPr>
                <w:sz w:val="20"/>
                <w:szCs w:val="20"/>
                <w:color w:val="auto"/>
              </w:rPr>
            </w:pPr>
            <w:r>
              <w:rPr>
                <w:rFonts w:ascii="Arial" w:cs="Arial" w:eastAsia="Arial" w:hAnsi="Arial"/>
                <w:sz w:val="22"/>
                <w:szCs w:val="22"/>
                <w:b w:val="1"/>
                <w:bCs w:val="1"/>
                <w:color w:val="auto"/>
              </w:rPr>
              <w:t>ARTICLE III</w:t>
            </w:r>
          </w:p>
        </w:tc>
      </w:tr>
      <w:tr>
        <w:trPr>
          <w:trHeight w:val="436"/>
        </w:trPr>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940" w:type="dxa"/>
            <w:vAlign w:val="bottom"/>
            <w:gridSpan w:val="3"/>
          </w:tcPr>
          <w:p>
            <w:pPr>
              <w:spacing w:after="0"/>
              <w:rPr>
                <w:sz w:val="20"/>
                <w:szCs w:val="20"/>
                <w:color w:val="auto"/>
              </w:rPr>
            </w:pPr>
            <w:r>
              <w:rPr>
                <w:rFonts w:ascii="Arial" w:cs="Arial" w:eastAsia="Arial" w:hAnsi="Arial"/>
                <w:sz w:val="22"/>
                <w:szCs w:val="22"/>
                <w:b w:val="1"/>
                <w:bCs w:val="1"/>
                <w:color w:val="auto"/>
              </w:rPr>
              <w:t>THE DEBT SECURITIES</w:t>
            </w:r>
          </w:p>
        </w:tc>
      </w:tr>
      <w:tr>
        <w:trPr>
          <w:trHeight w:val="20"/>
        </w:trPr>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249" w:lineRule="exact"/>
        <w:rPr>
          <w:sz w:val="20"/>
          <w:szCs w:val="20"/>
          <w:color w:val="auto"/>
        </w:rPr>
      </w:pPr>
    </w:p>
    <w:p>
      <w:pPr>
        <w:ind w:right="360" w:firstLine="648"/>
        <w:spacing w:after="0" w:line="23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Amount Unlimited; Issuable in Series</w:t>
      </w:r>
      <w:r>
        <w:rPr>
          <w:rFonts w:ascii="Arial" w:cs="Arial" w:eastAsia="Arial" w:hAnsi="Arial"/>
          <w:sz w:val="22"/>
          <w:szCs w:val="22"/>
          <w:color w:val="auto"/>
        </w:rPr>
        <w:t>. The aggregate principal amount of Securities that may be authenticated and delivered under this Indenture is unlimited. The Securities may be issued in one or more series. The title and terms on each series of Securities shall be as set forth in a Board Resolution, Company Order or in one or more indentures supplemental hereto, prior to the issuance of Securities of any series:</w:t>
      </w:r>
    </w:p>
    <w:p>
      <w:pPr>
        <w:spacing w:after="0" w:line="212" w:lineRule="exact"/>
        <w:rPr>
          <w:sz w:val="20"/>
          <w:szCs w:val="20"/>
          <w:color w:val="auto"/>
        </w:rPr>
      </w:pPr>
    </w:p>
    <w:p>
      <w:pPr>
        <w:ind w:right="760" w:firstLine="1305"/>
        <w:spacing w:after="0" w:line="328" w:lineRule="auto"/>
        <w:tabs>
          <w:tab w:leader="none" w:pos="207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32" w:lineRule="exact"/>
        <w:rPr>
          <w:rFonts w:ascii="Arial" w:cs="Arial" w:eastAsia="Arial" w:hAnsi="Arial"/>
          <w:sz w:val="19"/>
          <w:szCs w:val="19"/>
          <w:color w:val="auto"/>
        </w:rPr>
      </w:pPr>
    </w:p>
    <w:p>
      <w:pPr>
        <w:jc w:val="both"/>
        <w:ind w:right="140" w:firstLine="1305"/>
        <w:spacing w:after="0"/>
        <w:tabs>
          <w:tab w:leader="none" w:pos="2089"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pacing w:after="0" w:line="213" w:lineRule="exact"/>
        <w:rPr>
          <w:rFonts w:ascii="Arial" w:cs="Arial" w:eastAsia="Arial" w:hAnsi="Arial"/>
          <w:sz w:val="22"/>
          <w:szCs w:val="22"/>
          <w:color w:val="auto"/>
        </w:rPr>
      </w:pPr>
    </w:p>
    <w:p>
      <w:pPr>
        <w:jc w:val="both"/>
        <w:ind w:right="180" w:firstLine="1305"/>
        <w:spacing w:after="0"/>
        <w:tabs>
          <w:tab w:leader="none" w:pos="2076"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213" w:lineRule="exact"/>
        <w:rPr>
          <w:rFonts w:ascii="Arial" w:cs="Arial" w:eastAsia="Arial" w:hAnsi="Arial"/>
          <w:sz w:val="22"/>
          <w:szCs w:val="22"/>
          <w:color w:val="auto"/>
        </w:rPr>
      </w:pPr>
    </w:p>
    <w:p>
      <w:pPr>
        <w:ind w:right="40" w:firstLine="1305"/>
        <w:spacing w:after="0" w:line="277" w:lineRule="auto"/>
        <w:tabs>
          <w:tab w:leader="none" w:pos="208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ind w:left="-20" w:right="40" w:firstLine="1305"/>
        <w:spacing w:after="0" w:line="241" w:lineRule="auto"/>
        <w:tabs>
          <w:tab w:leader="none" w:pos="2056"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210" w:lineRule="exact"/>
        <w:rPr>
          <w:rFonts w:ascii="Arial" w:cs="Arial" w:eastAsia="Arial" w:hAnsi="Arial"/>
          <w:sz w:val="22"/>
          <w:szCs w:val="22"/>
          <w:color w:val="auto"/>
        </w:rPr>
      </w:pPr>
    </w:p>
    <w:p>
      <w:pPr>
        <w:ind w:left="-20" w:right="140" w:firstLine="1305"/>
        <w:spacing w:after="0" w:line="297" w:lineRule="auto"/>
        <w:tabs>
          <w:tab w:leader="none" w:pos="2033"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61" w:lineRule="exact"/>
        <w:rPr>
          <w:rFonts w:ascii="Arial" w:cs="Arial" w:eastAsia="Arial" w:hAnsi="Arial"/>
          <w:sz w:val="19"/>
          <w:szCs w:val="19"/>
          <w:color w:val="auto"/>
        </w:rPr>
      </w:pPr>
    </w:p>
    <w:p>
      <w:pPr>
        <w:ind w:left="-20" w:firstLine="1305"/>
        <w:spacing w:after="0" w:line="282" w:lineRule="auto"/>
        <w:tabs>
          <w:tab w:leader="none" w:pos="2069"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74" w:lineRule="exact"/>
        <w:rPr>
          <w:rFonts w:ascii="Arial" w:cs="Arial" w:eastAsia="Arial" w:hAnsi="Arial"/>
          <w:sz w:val="19"/>
          <w:szCs w:val="19"/>
          <w:color w:val="auto"/>
        </w:rPr>
      </w:pPr>
    </w:p>
    <w:p>
      <w:pPr>
        <w:ind w:left="-20" w:right="240" w:firstLine="1305"/>
        <w:spacing w:after="0" w:line="252" w:lineRule="auto"/>
        <w:tabs>
          <w:tab w:leader="none" w:pos="2069"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201" w:lineRule="exact"/>
        <w:rPr>
          <w:rFonts w:ascii="Arial" w:cs="Arial" w:eastAsia="Arial" w:hAnsi="Arial"/>
          <w:sz w:val="21"/>
          <w:szCs w:val="21"/>
          <w:color w:val="auto"/>
        </w:rPr>
      </w:pPr>
    </w:p>
    <w:p>
      <w:pPr>
        <w:ind w:left="-20" w:right="60" w:firstLine="1305"/>
        <w:spacing w:after="0"/>
        <w:tabs>
          <w:tab w:leader="none" w:pos="2075"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213" w:lineRule="exact"/>
        <w:rPr>
          <w:rFonts w:ascii="Arial" w:cs="Arial" w:eastAsia="Arial" w:hAnsi="Arial"/>
          <w:sz w:val="22"/>
          <w:szCs w:val="22"/>
          <w:color w:val="auto"/>
        </w:rPr>
      </w:pPr>
    </w:p>
    <w:p>
      <w:pPr>
        <w:ind w:left="-20" w:right="360" w:firstLine="1305"/>
        <w:spacing w:after="0" w:line="236" w:lineRule="auto"/>
        <w:tabs>
          <w:tab w:leader="none" w:pos="2075"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214" w:lineRule="exact"/>
        <w:rPr>
          <w:rFonts w:ascii="Arial" w:cs="Arial" w:eastAsia="Arial" w:hAnsi="Arial"/>
          <w:sz w:val="22"/>
          <w:szCs w:val="22"/>
          <w:color w:val="auto"/>
        </w:rPr>
      </w:pPr>
    </w:p>
    <w:p>
      <w:pPr>
        <w:ind w:left="-20" w:right="1080" w:firstLine="1305"/>
        <w:spacing w:after="0" w:line="251" w:lineRule="auto"/>
        <w:tabs>
          <w:tab w:leader="none" w:pos="2069"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other than denominations of $2,000 and any integral multiple of $1,000 in excess thereof, the denominations in which Securities of the series shall be issuable;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62" w:name="page63"/>
    <w:bookmarkEnd w:id="62"/>
    <w:p>
      <w:pPr>
        <w:ind w:left="-20" w:right="120" w:firstLine="1305"/>
        <w:spacing w:after="0" w:line="274" w:lineRule="auto"/>
        <w:tabs>
          <w:tab w:leader="none" w:pos="2021"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other than the principal amount thereof, the portion of the principal amount of the Securities of the series which shall be payable upon declaration of acceleration of the Maturity thereof pursuant to Section 7.02;</w:t>
      </w:r>
    </w:p>
    <w:p>
      <w:pPr>
        <w:spacing w:after="0" w:line="178" w:lineRule="exact"/>
        <w:rPr>
          <w:rFonts w:ascii="Arial" w:cs="Arial" w:eastAsia="Arial" w:hAnsi="Arial"/>
          <w:sz w:val="21"/>
          <w:szCs w:val="21"/>
          <w:color w:val="auto"/>
        </w:rPr>
      </w:pPr>
    </w:p>
    <w:p>
      <w:pPr>
        <w:ind w:left="-20" w:right="140" w:firstLine="1305"/>
        <w:spacing w:after="0"/>
        <w:tabs>
          <w:tab w:leader="none" w:pos="207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213" w:lineRule="exact"/>
        <w:rPr>
          <w:rFonts w:ascii="Arial" w:cs="Arial" w:eastAsia="Arial" w:hAnsi="Arial"/>
          <w:sz w:val="22"/>
          <w:szCs w:val="22"/>
          <w:color w:val="auto"/>
        </w:rPr>
      </w:pPr>
    </w:p>
    <w:p>
      <w:pPr>
        <w:ind w:left="-20" w:right="40" w:firstLine="1305"/>
        <w:spacing w:after="0" w:line="251" w:lineRule="auto"/>
        <w:tabs>
          <w:tab w:leader="none" w:pos="2069" w:val="left"/>
        </w:tabs>
        <w:numPr>
          <w:ilvl w:val="0"/>
          <w:numId w:val="48"/>
        </w:numPr>
        <w:rPr>
          <w:rFonts w:ascii="Arial" w:cs="Arial" w:eastAsia="Arial" w:hAnsi="Arial"/>
          <w:sz w:val="22"/>
          <w:szCs w:val="22"/>
          <w:color w:val="auto"/>
        </w:rPr>
      </w:pPr>
      <w:r>
        <w:rPr>
          <w:rFonts w:ascii="Arial" w:cs="Arial" w:eastAsia="Arial" w:hAnsi="Arial"/>
          <w:sz w:val="22"/>
          <w:szCs w:val="22"/>
          <w:color w:val="auto"/>
        </w:rPr>
        <w:t>whether the Securities of the series are to be issued as Original Issue Discount Securities and the amount of discount with which such Securities may be issued;</w:t>
      </w:r>
    </w:p>
    <w:p>
      <w:pPr>
        <w:spacing w:after="0" w:line="200" w:lineRule="exact"/>
        <w:rPr>
          <w:rFonts w:ascii="Arial" w:cs="Arial" w:eastAsia="Arial" w:hAnsi="Arial"/>
          <w:sz w:val="22"/>
          <w:szCs w:val="22"/>
          <w:color w:val="auto"/>
        </w:rPr>
      </w:pPr>
    </w:p>
    <w:p>
      <w:pPr>
        <w:ind w:left="-20" w:firstLine="1305"/>
        <w:spacing w:after="0" w:line="297" w:lineRule="auto"/>
        <w:tabs>
          <w:tab w:leader="none" w:pos="2069"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spacing w:after="0" w:line="161" w:lineRule="exact"/>
        <w:rPr>
          <w:rFonts w:ascii="Arial" w:cs="Arial" w:eastAsia="Arial" w:hAnsi="Arial"/>
          <w:sz w:val="19"/>
          <w:szCs w:val="19"/>
          <w:color w:val="auto"/>
        </w:rPr>
      </w:pPr>
    </w:p>
    <w:p>
      <w:pPr>
        <w:ind w:left="-20" w:right="20" w:firstLine="1305"/>
        <w:spacing w:after="0" w:line="236" w:lineRule="auto"/>
        <w:tabs>
          <w:tab w:leader="none" w:pos="2069" w:val="left"/>
        </w:tabs>
        <w:numPr>
          <w:ilvl w:val="0"/>
          <w:numId w:val="48"/>
        </w:numPr>
        <w:rPr>
          <w:rFonts w:ascii="Arial" w:cs="Arial" w:eastAsia="Arial" w:hAnsi="Arial"/>
          <w:sz w:val="22"/>
          <w:szCs w:val="22"/>
          <w:color w:val="auto"/>
        </w:rPr>
      </w:pPr>
      <w:r>
        <w:rPr>
          <w:rFonts w:ascii="Arial" w:cs="Arial" w:eastAsia="Arial" w:hAnsi="Arial"/>
          <w:sz w:val="22"/>
          <w:szCs w:val="22"/>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214" w:lineRule="exact"/>
        <w:rPr>
          <w:rFonts w:ascii="Arial" w:cs="Arial" w:eastAsia="Arial" w:hAnsi="Arial"/>
          <w:sz w:val="22"/>
          <w:szCs w:val="22"/>
          <w:color w:val="auto"/>
        </w:rPr>
      </w:pPr>
    </w:p>
    <w:p>
      <w:pPr>
        <w:ind w:left="-20" w:right="300" w:firstLine="1305"/>
        <w:spacing w:after="0" w:line="251" w:lineRule="auto"/>
        <w:tabs>
          <w:tab w:leader="none" w:pos="206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date as of which any Global Security of the series shall be dated if other than the original issuance of the first Security of the series to be issued;</w:t>
      </w:r>
    </w:p>
    <w:p>
      <w:pPr>
        <w:spacing w:after="0" w:line="200" w:lineRule="exact"/>
        <w:rPr>
          <w:rFonts w:ascii="Arial" w:cs="Arial" w:eastAsia="Arial" w:hAnsi="Arial"/>
          <w:sz w:val="22"/>
          <w:szCs w:val="22"/>
          <w:color w:val="auto"/>
        </w:rPr>
      </w:pPr>
    </w:p>
    <w:p>
      <w:pPr>
        <w:ind w:left="2040" w:hanging="755"/>
        <w:spacing w:after="0"/>
        <w:tabs>
          <w:tab w:leader="none" w:pos="20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form of the Securities of the series;</w:t>
      </w:r>
    </w:p>
    <w:p>
      <w:pPr>
        <w:spacing w:after="0" w:line="233" w:lineRule="exact"/>
        <w:rPr>
          <w:rFonts w:ascii="Arial" w:cs="Arial" w:eastAsia="Arial" w:hAnsi="Arial"/>
          <w:sz w:val="22"/>
          <w:szCs w:val="22"/>
          <w:color w:val="auto"/>
        </w:rPr>
      </w:pPr>
    </w:p>
    <w:p>
      <w:pPr>
        <w:ind w:left="-20" w:right="60" w:firstLine="1305"/>
        <w:spacing w:after="0" w:line="258" w:lineRule="auto"/>
        <w:tabs>
          <w:tab w:leader="none" w:pos="2045"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93" w:lineRule="exact"/>
        <w:rPr>
          <w:rFonts w:ascii="Arial" w:cs="Arial" w:eastAsia="Arial" w:hAnsi="Arial"/>
          <w:sz w:val="21"/>
          <w:szCs w:val="21"/>
          <w:color w:val="auto"/>
        </w:rPr>
      </w:pPr>
    </w:p>
    <w:p>
      <w:pPr>
        <w:ind w:left="2020" w:hanging="735"/>
        <w:spacing w:after="0"/>
        <w:tabs>
          <w:tab w:leader="none" w:pos="20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whether the Securities of such series are subject to subordination and the terms of such subordination;</w:t>
      </w:r>
    </w:p>
    <w:p>
      <w:pPr>
        <w:spacing w:after="0" w:line="267" w:lineRule="exact"/>
        <w:rPr>
          <w:rFonts w:ascii="Arial" w:cs="Arial" w:eastAsia="Arial" w:hAnsi="Arial"/>
          <w:sz w:val="19"/>
          <w:szCs w:val="19"/>
          <w:color w:val="auto"/>
        </w:rPr>
      </w:pPr>
    </w:p>
    <w:p>
      <w:pPr>
        <w:ind w:left="2080" w:hanging="795"/>
        <w:spacing w:after="0"/>
        <w:tabs>
          <w:tab w:leader="none" w:pos="2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whether the Securities of such series are to be secured and the terms of such Security;</w:t>
      </w:r>
    </w:p>
    <w:p>
      <w:pPr>
        <w:spacing w:after="0" w:line="233" w:lineRule="exact"/>
        <w:rPr>
          <w:rFonts w:ascii="Arial" w:cs="Arial" w:eastAsia="Arial" w:hAnsi="Arial"/>
          <w:sz w:val="22"/>
          <w:szCs w:val="22"/>
          <w:color w:val="auto"/>
        </w:rPr>
      </w:pPr>
    </w:p>
    <w:p>
      <w:pPr>
        <w:ind w:left="2080" w:hanging="795"/>
        <w:spacing w:after="0"/>
        <w:tabs>
          <w:tab w:leader="none" w:pos="2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restriction or condition on the transferability of the Securities of such series;</w:t>
      </w:r>
    </w:p>
    <w:p>
      <w:pPr>
        <w:spacing w:after="0" w:line="233" w:lineRule="exact"/>
        <w:rPr>
          <w:rFonts w:ascii="Arial" w:cs="Arial" w:eastAsia="Arial" w:hAnsi="Arial"/>
          <w:sz w:val="22"/>
          <w:szCs w:val="22"/>
          <w:color w:val="auto"/>
        </w:rPr>
      </w:pPr>
    </w:p>
    <w:p>
      <w:pPr>
        <w:ind w:left="-20" w:right="200" w:firstLine="1305"/>
        <w:spacing w:after="0" w:line="251" w:lineRule="auto"/>
        <w:tabs>
          <w:tab w:leader="none" w:pos="20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addition or change in the provisions related to compensation and reimbursement of the Trustee which applies to Securities of such series;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63" w:name="page64"/>
    <w:bookmarkEnd w:id="63"/>
    <w:p>
      <w:pPr>
        <w:ind w:right="460" w:firstLine="1305"/>
        <w:spacing w:after="0" w:line="251" w:lineRule="auto"/>
        <w:tabs>
          <w:tab w:leader="none" w:pos="2089"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addition or change in the provisions related to supplemental indentures set forth in Sections 14.01, 14.02 and 14.04 which applies to Securities of such series;</w:t>
      </w:r>
    </w:p>
    <w:p>
      <w:pPr>
        <w:spacing w:after="0" w:line="200" w:lineRule="exact"/>
        <w:rPr>
          <w:rFonts w:ascii="Arial" w:cs="Arial" w:eastAsia="Arial" w:hAnsi="Arial"/>
          <w:sz w:val="22"/>
          <w:szCs w:val="22"/>
          <w:color w:val="auto"/>
        </w:rPr>
      </w:pPr>
    </w:p>
    <w:p>
      <w:pPr>
        <w:ind w:left="2100" w:hanging="795"/>
        <w:spacing w:after="0"/>
        <w:tabs>
          <w:tab w:leader="none" w:pos="21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provisions, if any, granting special rights to Holders upon the occurrence of specified events;</w:t>
      </w:r>
    </w:p>
    <w:p>
      <w:pPr>
        <w:spacing w:after="0" w:line="233" w:lineRule="exact"/>
        <w:rPr>
          <w:rFonts w:ascii="Arial" w:cs="Arial" w:eastAsia="Arial" w:hAnsi="Arial"/>
          <w:sz w:val="22"/>
          <w:szCs w:val="22"/>
          <w:color w:val="auto"/>
        </w:rPr>
      </w:pPr>
    </w:p>
    <w:p>
      <w:pPr>
        <w:ind w:firstLine="1305"/>
        <w:spacing w:after="0" w:line="238" w:lineRule="auto"/>
        <w:tabs>
          <w:tab w:leader="none" w:pos="2076"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212" w:lineRule="exact"/>
        <w:rPr>
          <w:sz w:val="20"/>
          <w:szCs w:val="20"/>
          <w:color w:val="auto"/>
        </w:rPr>
      </w:pPr>
    </w:p>
    <w:p>
      <w:pPr>
        <w:ind w:left="2080" w:hanging="775"/>
        <w:spacing w:after="0"/>
        <w:tabs>
          <w:tab w:leader="none" w:pos="20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addition to or change in the covenants set forth in Article VI which applies to Securities of the series;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ind w:right="20" w:firstLine="1305"/>
        <w:spacing w:after="0" w:line="328" w:lineRule="auto"/>
        <w:tabs>
          <w:tab w:leader="none" w:pos="2089"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All Securities of any one series shall be substantially identical, except as to denomination and except as may otherwise be provided herein or set forth in a Board Resolution, a Company Order or in one or more indentures supplemental hereto.</w:t>
      </w:r>
    </w:p>
    <w:p>
      <w:pPr>
        <w:spacing w:after="0" w:line="178" w:lineRule="exact"/>
        <w:rPr>
          <w:sz w:val="20"/>
          <w:szCs w:val="20"/>
          <w:color w:val="auto"/>
        </w:rPr>
      </w:pPr>
    </w:p>
    <w:p>
      <w:pPr>
        <w:ind w:right="20"/>
        <w:spacing w:after="0"/>
        <w:rPr>
          <w:sz w:val="20"/>
          <w:szCs w:val="20"/>
          <w:color w:val="auto"/>
        </w:rPr>
      </w:pPr>
      <w:r>
        <w:rPr>
          <w:rFonts w:ascii="Arial" w:cs="Arial" w:eastAsia="Arial" w:hAnsi="Arial"/>
          <w:sz w:val="22"/>
          <w:szCs w:val="22"/>
          <w:color w:val="auto"/>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spacing w:after="0" w:line="213"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Denominations</w:t>
      </w:r>
      <w:r>
        <w:rPr>
          <w:rFonts w:ascii="Arial" w:cs="Arial" w:eastAsia="Arial" w:hAnsi="Arial"/>
          <w:sz w:val="22"/>
          <w:szCs w:val="22"/>
          <w:color w:val="auto"/>
        </w:rPr>
        <w:t>. In the absence of any specification pursuant to Section 3.01 with respect to Securities of any series, the Securities of such series shall be issuable only as Securities in denominations of $2,000 and in integral multiples of $1,000, and shall be payable only in U.S. Dollars.</w:t>
      </w:r>
    </w:p>
    <w:p>
      <w:pPr>
        <w:spacing w:after="0" w:line="21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u w:val="single" w:color="auto"/>
          <w:color w:val="auto"/>
        </w:rPr>
        <w:t>Execution, Authentication, Delivery and Dating</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38" w:lineRule="auto"/>
        <w:tabs>
          <w:tab w:leader="none" w:pos="207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Securities shall be executed in the name and on behalf of the Company by the manual or facsimile signature of its Chairman of the Board of Directors, its Chief Executive Officer, President, one of its Vice Presidents or Treasurer. If the Person whose signature is on a Security no longer holds that office at the time the Security is authenticated and delivered, the Security shall nevertheless be valid.</w:t>
      </w:r>
    </w:p>
    <w:p>
      <w:pPr>
        <w:spacing w:after="0" w:line="212" w:lineRule="exact"/>
        <w:rPr>
          <w:rFonts w:ascii="Arial" w:cs="Arial" w:eastAsia="Arial" w:hAnsi="Arial"/>
          <w:sz w:val="22"/>
          <w:szCs w:val="22"/>
          <w:color w:val="auto"/>
        </w:rPr>
      </w:pPr>
    </w:p>
    <w:p>
      <w:pPr>
        <w:ind w:right="120" w:firstLine="1305"/>
        <w:spacing w:after="0" w:line="248" w:lineRule="auto"/>
        <w:tabs>
          <w:tab w:leader="none" w:pos="2089" w:val="left"/>
        </w:tabs>
        <w:numPr>
          <w:ilvl w:val="0"/>
          <w:numId w:val="52"/>
        </w:numPr>
        <w:rPr>
          <w:rFonts w:ascii="Arial" w:cs="Arial" w:eastAsia="Arial" w:hAnsi="Arial"/>
          <w:sz w:val="21"/>
          <w:szCs w:val="21"/>
          <w:color w:val="auto"/>
        </w:rPr>
      </w:pPr>
      <w:r>
        <w:rPr>
          <w:rFonts w:ascii="Arial" w:cs="Arial" w:eastAsia="Arial" w:hAnsi="Arial"/>
          <w:sz w:val="21"/>
          <w:szCs w:val="21"/>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jc w:val="both"/>
        <w:ind w:firstLine="1305"/>
        <w:spacing w:after="0" w:line="238" w:lineRule="auto"/>
        <w:tabs>
          <w:tab w:leader="none" w:pos="207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212" w:lineRule="exact"/>
        <w:rPr>
          <w:rFonts w:ascii="Arial" w:cs="Arial" w:eastAsia="Arial" w:hAnsi="Arial"/>
          <w:sz w:val="22"/>
          <w:szCs w:val="22"/>
          <w:color w:val="auto"/>
        </w:rPr>
      </w:pPr>
    </w:p>
    <w:p>
      <w:pPr>
        <w:jc w:val="both"/>
        <w:ind w:right="20" w:firstLine="1305"/>
        <w:spacing w:after="0" w:line="297" w:lineRule="auto"/>
        <w:tabs>
          <w:tab w:leader="none" w:pos="2089"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161" w:lineRule="exact"/>
        <w:rPr>
          <w:rFonts w:ascii="Arial" w:cs="Arial" w:eastAsia="Arial" w:hAnsi="Arial"/>
          <w:sz w:val="19"/>
          <w:szCs w:val="19"/>
          <w:color w:val="auto"/>
        </w:rPr>
      </w:pPr>
    </w:p>
    <w:p>
      <w:pPr>
        <w:ind w:right="20" w:firstLine="1305"/>
        <w:spacing w:after="0" w:line="251" w:lineRule="auto"/>
        <w:tabs>
          <w:tab w:leader="none" w:pos="2076" w:val="left"/>
        </w:tabs>
        <w:numPr>
          <w:ilvl w:val="0"/>
          <w:numId w:val="53"/>
        </w:numPr>
        <w:rPr>
          <w:rFonts w:ascii="Arial" w:cs="Arial" w:eastAsia="Arial" w:hAnsi="Arial"/>
          <w:sz w:val="22"/>
          <w:szCs w:val="22"/>
          <w:color w:val="auto"/>
        </w:rPr>
      </w:pPr>
      <w:r>
        <w:rPr>
          <w:rFonts w:ascii="Arial" w:cs="Arial" w:eastAsia="Arial" w:hAnsi="Arial"/>
          <w:sz w:val="22"/>
          <w:szCs w:val="22"/>
          <w:color w:val="auto"/>
        </w:rPr>
        <w:t>Each Security shall be dated the date of its authentication, except as otherwise provided pursuant to Section 3.01 with respect to the Securities of such series.</w:t>
      </w:r>
    </w:p>
    <w:p>
      <w:pPr>
        <w:spacing w:after="0" w:line="200" w:lineRule="exact"/>
        <w:rPr>
          <w:rFonts w:ascii="Arial" w:cs="Arial" w:eastAsia="Arial" w:hAnsi="Arial"/>
          <w:sz w:val="22"/>
          <w:szCs w:val="22"/>
          <w:color w:val="auto"/>
        </w:rPr>
      </w:pPr>
    </w:p>
    <w:p>
      <w:pPr>
        <w:ind w:right="40" w:firstLine="1305"/>
        <w:spacing w:after="0" w:line="258" w:lineRule="auto"/>
        <w:tabs>
          <w:tab w:leader="none" w:pos="2053" w:val="left"/>
        </w:tabs>
        <w:numPr>
          <w:ilvl w:val="0"/>
          <w:numId w:val="53"/>
        </w:numPr>
        <w:rPr>
          <w:rFonts w:ascii="Arial" w:cs="Arial" w:eastAsia="Arial" w:hAnsi="Arial"/>
          <w:sz w:val="21"/>
          <w:szCs w:val="21"/>
          <w:color w:val="auto"/>
        </w:rPr>
      </w:pPr>
      <w:r>
        <w:rPr>
          <w:rFonts w:ascii="Arial" w:cs="Arial" w:eastAsia="Arial" w:hAnsi="Arial"/>
          <w:sz w:val="21"/>
          <w:szCs w:val="21"/>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193" w:lineRule="exact"/>
        <w:rPr>
          <w:rFonts w:ascii="Arial" w:cs="Arial" w:eastAsia="Arial" w:hAnsi="Arial"/>
          <w:sz w:val="21"/>
          <w:szCs w:val="21"/>
          <w:color w:val="auto"/>
        </w:rPr>
      </w:pPr>
    </w:p>
    <w:p>
      <w:pPr>
        <w:ind w:right="40" w:firstLine="1305"/>
        <w:spacing w:after="0" w:line="234" w:lineRule="auto"/>
        <w:tabs>
          <w:tab w:leader="none" w:pos="2089"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if in registered form, in the name of the Depositary for such Global Security or Global Securities or the nominee of such Depositary, (iii) shall be delivered by the Trustee to such Depositary or pursuant to such Depositary’s instruction and (iv) shall bear a legend substantially to the following effect:</w:t>
      </w: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5" w:name="page66"/>
    <w:bookmarkEnd w:id="65"/>
    <w:p>
      <w:pPr>
        <w:ind w:right="140"/>
        <w:spacing w:after="0" w:line="252" w:lineRule="auto"/>
        <w:rPr>
          <w:sz w:val="20"/>
          <w:szCs w:val="20"/>
          <w:color w:val="auto"/>
        </w:rPr>
      </w:pPr>
      <w:r>
        <w:rPr>
          <w:rFonts w:ascii="Arial" w:cs="Arial" w:eastAsia="Arial" w:hAnsi="Arial"/>
          <w:sz w:val="21"/>
          <w:szCs w:val="21"/>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The aggregate principal amount of each Global Security may from time to time be increased or decreased by adjustments made on the records of the Security Custodian, as provided in this Indenture.</w:t>
      </w:r>
    </w:p>
    <w:p>
      <w:pPr>
        <w:spacing w:after="0" w:line="200" w:lineRule="exact"/>
        <w:rPr>
          <w:sz w:val="20"/>
          <w:szCs w:val="20"/>
          <w:color w:val="auto"/>
        </w:rPr>
      </w:pPr>
    </w:p>
    <w:p>
      <w:pPr>
        <w:jc w:val="both"/>
        <w:ind w:right="120" w:firstLine="1305"/>
        <w:spacing w:after="0"/>
        <w:tabs>
          <w:tab w:leader="none" w:pos="2089"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213" w:lineRule="exact"/>
        <w:rPr>
          <w:rFonts w:ascii="Arial" w:cs="Arial" w:eastAsia="Arial" w:hAnsi="Arial"/>
          <w:sz w:val="22"/>
          <w:szCs w:val="22"/>
          <w:color w:val="auto"/>
        </w:rPr>
      </w:pPr>
    </w:p>
    <w:p>
      <w:pPr>
        <w:ind w:right="20" w:firstLine="1305"/>
        <w:spacing w:after="0" w:line="274" w:lineRule="auto"/>
        <w:tabs>
          <w:tab w:leader="none" w:pos="2095" w:val="left"/>
        </w:tabs>
        <w:numPr>
          <w:ilvl w:val="0"/>
          <w:numId w:val="54"/>
        </w:numPr>
        <w:rPr>
          <w:rFonts w:ascii="Arial" w:cs="Arial" w:eastAsia="Arial" w:hAnsi="Arial"/>
          <w:sz w:val="19"/>
          <w:szCs w:val="19"/>
          <w:color w:val="auto"/>
        </w:rPr>
      </w:pPr>
      <w:r>
        <w:rPr>
          <w:rFonts w:ascii="Arial" w:cs="Arial" w:eastAsia="Arial" w:hAnsi="Arial"/>
          <w:sz w:val="19"/>
          <w:szCs w:val="19"/>
          <w:color w:val="auto"/>
        </w:rPr>
        <w:t>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185" w:lineRule="exact"/>
        <w:rPr>
          <w:rFonts w:ascii="Arial" w:cs="Arial" w:eastAsia="Arial" w:hAnsi="Arial"/>
          <w:sz w:val="19"/>
          <w:szCs w:val="19"/>
          <w:color w:val="auto"/>
        </w:rPr>
      </w:pPr>
    </w:p>
    <w:p>
      <w:pPr>
        <w:ind w:right="140" w:firstLine="1305"/>
        <w:spacing w:after="0" w:line="282" w:lineRule="auto"/>
        <w:tabs>
          <w:tab w:leader="none" w:pos="2041"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7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Temporary Securities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4" w:lineRule="auto"/>
        <w:tabs>
          <w:tab w:leader="none" w:pos="2076" w:val="left"/>
        </w:tabs>
        <w:numPr>
          <w:ilvl w:val="0"/>
          <w:numId w:val="55"/>
        </w:numPr>
        <w:rPr>
          <w:rFonts w:ascii="Arial" w:cs="Arial" w:eastAsia="Arial" w:hAnsi="Arial"/>
          <w:sz w:val="19"/>
          <w:szCs w:val="19"/>
          <w:color w:val="auto"/>
        </w:rPr>
      </w:pPr>
      <w:r>
        <w:rPr>
          <w:rFonts w:ascii="Arial" w:cs="Arial" w:eastAsia="Arial" w:hAnsi="Arial"/>
          <w:sz w:val="19"/>
          <w:szCs w:val="19"/>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66" w:name="page67"/>
    <w:bookmarkEnd w:id="66"/>
    <w:p>
      <w:pPr>
        <w:ind w:left="-60" w:right="20" w:firstLine="1305"/>
        <w:spacing w:after="0" w:line="246" w:lineRule="auto"/>
        <w:tabs>
          <w:tab w:leader="none" w:pos="2029" w:val="left"/>
        </w:tabs>
        <w:numPr>
          <w:ilvl w:val="0"/>
          <w:numId w:val="56"/>
        </w:numPr>
        <w:rPr>
          <w:rFonts w:ascii="Arial" w:cs="Arial" w:eastAsia="Arial" w:hAnsi="Arial"/>
          <w:sz w:val="21"/>
          <w:szCs w:val="21"/>
          <w:color w:val="auto"/>
        </w:rPr>
      </w:pPr>
      <w:r>
        <w:rPr>
          <w:rFonts w:ascii="Arial" w:cs="Arial" w:eastAsia="Arial" w:hAnsi="Arial"/>
          <w:sz w:val="21"/>
          <w:szCs w:val="21"/>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208" w:lineRule="exact"/>
        <w:rPr>
          <w:rFonts w:ascii="Arial" w:cs="Arial" w:eastAsia="Arial" w:hAnsi="Arial"/>
          <w:sz w:val="21"/>
          <w:szCs w:val="21"/>
          <w:color w:val="auto"/>
        </w:rPr>
      </w:pPr>
    </w:p>
    <w:p>
      <w:pPr>
        <w:ind w:left="-60" w:firstLine="1305"/>
        <w:spacing w:after="0" w:line="287" w:lineRule="auto"/>
        <w:tabs>
          <w:tab w:leader="none" w:pos="2016" w:val="left"/>
        </w:tabs>
        <w:numPr>
          <w:ilvl w:val="0"/>
          <w:numId w:val="56"/>
        </w:numPr>
        <w:rPr>
          <w:rFonts w:ascii="Arial" w:cs="Arial" w:eastAsia="Arial" w:hAnsi="Arial"/>
          <w:sz w:val="19"/>
          <w:szCs w:val="19"/>
          <w:color w:val="auto"/>
        </w:rPr>
      </w:pPr>
      <w:r>
        <w:rPr>
          <w:rFonts w:ascii="Arial" w:cs="Arial" w:eastAsia="Arial" w:hAnsi="Arial"/>
          <w:sz w:val="19"/>
          <w:szCs w:val="19"/>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70" w:lineRule="exact"/>
        <w:rPr>
          <w:sz w:val="20"/>
          <w:szCs w:val="20"/>
          <w:color w:val="auto"/>
        </w:rPr>
      </w:pPr>
    </w:p>
    <w:p>
      <w:pPr>
        <w:ind w:left="600"/>
        <w:spacing w:after="0"/>
        <w:tabs>
          <w:tab w:leader="none" w:pos="21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Registrar and Paying Agent</w:t>
      </w:r>
      <w:r>
        <w:rPr>
          <w:rFonts w:ascii="Arial" w:cs="Arial" w:eastAsia="Arial" w:hAnsi="Arial"/>
          <w:sz w:val="19"/>
          <w:szCs w:val="19"/>
          <w:color w:val="auto"/>
        </w:rPr>
        <w:t>.</w:t>
      </w:r>
    </w:p>
    <w:p>
      <w:pPr>
        <w:spacing w:after="0" w:line="233" w:lineRule="exact"/>
        <w:rPr>
          <w:sz w:val="20"/>
          <w:szCs w:val="20"/>
          <w:color w:val="auto"/>
        </w:rPr>
      </w:pPr>
    </w:p>
    <w:p>
      <w:pPr>
        <w:ind w:left="-60" w:right="100" w:firstLine="1305"/>
        <w:spacing w:after="0" w:line="275" w:lineRule="auto"/>
        <w:tabs>
          <w:tab w:leader="none" w:pos="201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185" w:lineRule="exact"/>
        <w:rPr>
          <w:rFonts w:ascii="Arial" w:cs="Arial" w:eastAsia="Arial" w:hAnsi="Arial"/>
          <w:sz w:val="19"/>
          <w:szCs w:val="19"/>
          <w:color w:val="auto"/>
        </w:rPr>
      </w:pPr>
    </w:p>
    <w:p>
      <w:pPr>
        <w:ind w:left="-60" w:right="40" w:firstLine="1305"/>
        <w:spacing w:after="0" w:line="249" w:lineRule="auto"/>
        <w:tabs>
          <w:tab w:leader="none" w:pos="2029"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sectPr>
      </w:pPr>
    </w:p>
    <w:bookmarkStart w:id="67" w:name="page68"/>
    <w:bookmarkEnd w:id="67"/>
    <w:p>
      <w:pPr>
        <w:ind w:left="-60" w:right="60" w:firstLine="1305"/>
        <w:spacing w:after="0" w:line="251" w:lineRule="auto"/>
        <w:tabs>
          <w:tab w:leader="none" w:pos="201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hereby appoints the Trustee at its Corporate Trust Office as Registrar in connection with the Securities and this Indenture, until such time as another Person is appointed as such.</w:t>
      </w:r>
    </w:p>
    <w:p>
      <w:pPr>
        <w:spacing w:after="0" w:line="201" w:lineRule="exact"/>
        <w:rPr>
          <w:sz w:val="20"/>
          <w:szCs w:val="20"/>
          <w:color w:val="auto"/>
        </w:rPr>
      </w:pPr>
    </w:p>
    <w:p>
      <w:pPr>
        <w:ind w:left="600"/>
        <w:spacing w:after="0"/>
        <w:tabs>
          <w:tab w:leader="none" w:pos="21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33" w:lineRule="exact"/>
        <w:rPr>
          <w:sz w:val="20"/>
          <w:szCs w:val="20"/>
          <w:color w:val="auto"/>
        </w:rPr>
      </w:pPr>
    </w:p>
    <w:p>
      <w:pPr>
        <w:ind w:left="2020" w:hanging="775"/>
        <w:spacing w:after="0"/>
        <w:tabs>
          <w:tab w:leader="none" w:pos="20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Transfer.</w:t>
      </w:r>
    </w:p>
    <w:p>
      <w:pPr>
        <w:spacing w:after="0" w:line="233" w:lineRule="exact"/>
        <w:rPr>
          <w:rFonts w:ascii="Arial" w:cs="Arial" w:eastAsia="Arial" w:hAnsi="Arial"/>
          <w:sz w:val="22"/>
          <w:szCs w:val="22"/>
          <w:color w:val="auto"/>
        </w:rPr>
      </w:pPr>
    </w:p>
    <w:p>
      <w:pPr>
        <w:ind w:left="600" w:right="140" w:firstLine="1293"/>
        <w:spacing w:after="0" w:line="235" w:lineRule="auto"/>
        <w:tabs>
          <w:tab w:leader="none" w:pos="2641" w:val="left"/>
        </w:tabs>
        <w:numPr>
          <w:ilvl w:val="1"/>
          <w:numId w:val="59"/>
        </w:numPr>
        <w:rPr>
          <w:rFonts w:ascii="Arial" w:cs="Arial" w:eastAsia="Arial" w:hAnsi="Arial"/>
          <w:sz w:val="22"/>
          <w:szCs w:val="22"/>
          <w:color w:val="auto"/>
        </w:rPr>
      </w:pPr>
      <w:r>
        <w:rPr>
          <w:rFonts w:ascii="Arial" w:cs="Arial" w:eastAsia="Arial" w:hAnsi="Arial"/>
          <w:sz w:val="22"/>
          <w:szCs w:val="22"/>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215" w:lineRule="exact"/>
        <w:rPr>
          <w:rFonts w:ascii="Arial" w:cs="Arial" w:eastAsia="Arial" w:hAnsi="Arial"/>
          <w:sz w:val="22"/>
          <w:szCs w:val="22"/>
          <w:color w:val="auto"/>
        </w:rPr>
      </w:pPr>
    </w:p>
    <w:p>
      <w:pPr>
        <w:ind w:left="600" w:right="100" w:firstLine="1293"/>
        <w:spacing w:after="0" w:line="282" w:lineRule="auto"/>
        <w:tabs>
          <w:tab w:leader="none" w:pos="2647"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4" w:lineRule="exact"/>
        <w:rPr>
          <w:rFonts w:ascii="Arial" w:cs="Arial" w:eastAsia="Arial" w:hAnsi="Arial"/>
          <w:sz w:val="19"/>
          <w:szCs w:val="19"/>
          <w:color w:val="auto"/>
        </w:rPr>
      </w:pPr>
    </w:p>
    <w:p>
      <w:pPr>
        <w:ind w:left="2040" w:hanging="795"/>
        <w:spacing w:after="0"/>
        <w:tabs>
          <w:tab w:leader="none" w:pos="20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Exchange.</w:t>
      </w:r>
    </w:p>
    <w:p>
      <w:pPr>
        <w:spacing w:after="0" w:line="233" w:lineRule="exact"/>
        <w:rPr>
          <w:rFonts w:ascii="Arial" w:cs="Arial" w:eastAsia="Arial" w:hAnsi="Arial"/>
          <w:sz w:val="22"/>
          <w:szCs w:val="22"/>
          <w:color w:val="auto"/>
        </w:rPr>
      </w:pPr>
    </w:p>
    <w:p>
      <w:pPr>
        <w:ind w:left="600" w:firstLine="1293"/>
        <w:spacing w:after="0" w:line="258" w:lineRule="auto"/>
        <w:tabs>
          <w:tab w:leader="none" w:pos="2641" w:val="left"/>
        </w:tabs>
        <w:numPr>
          <w:ilvl w:val="1"/>
          <w:numId w:val="59"/>
        </w:numPr>
        <w:rPr>
          <w:rFonts w:ascii="Arial" w:cs="Arial" w:eastAsia="Arial" w:hAnsi="Arial"/>
          <w:sz w:val="21"/>
          <w:szCs w:val="21"/>
          <w:color w:val="auto"/>
        </w:rPr>
      </w:pPr>
      <w:r>
        <w:rPr>
          <w:rFonts w:ascii="Arial" w:cs="Arial" w:eastAsia="Arial" w:hAnsi="Arial"/>
          <w:sz w:val="21"/>
          <w:szCs w:val="21"/>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193" w:lineRule="exact"/>
        <w:rPr>
          <w:rFonts w:ascii="Arial" w:cs="Arial" w:eastAsia="Arial" w:hAnsi="Arial"/>
          <w:sz w:val="21"/>
          <w:szCs w:val="21"/>
          <w:color w:val="auto"/>
        </w:rPr>
      </w:pPr>
    </w:p>
    <w:p>
      <w:pPr>
        <w:ind w:left="600" w:right="440" w:firstLine="1293"/>
        <w:spacing w:after="0"/>
        <w:tabs>
          <w:tab w:leader="none" w:pos="2701" w:val="left"/>
        </w:tabs>
        <w:numPr>
          <w:ilvl w:val="1"/>
          <w:numId w:val="59"/>
        </w:numPr>
        <w:rPr>
          <w:rFonts w:ascii="Arial" w:cs="Arial" w:eastAsia="Arial" w:hAnsi="Arial"/>
          <w:sz w:val="22"/>
          <w:szCs w:val="22"/>
          <w:color w:val="auto"/>
        </w:rPr>
      </w:pPr>
      <w:r>
        <w:rPr>
          <w:rFonts w:ascii="Arial" w:cs="Arial" w:eastAsia="Arial" w:hAnsi="Arial"/>
          <w:sz w:val="22"/>
          <w:szCs w:val="22"/>
          <w:color w:val="auto"/>
        </w:rPr>
        <w:t>Whenever any Securities are so surrendered for exchange, the Company shall execute, and the Trustee or Authenticating Agent shall authenticate and deliver, the Securities that the Holder making the exchange is entitled to receive.</w:t>
      </w:r>
    </w:p>
    <w:p>
      <w:pPr>
        <w:spacing w:after="0" w:line="213" w:lineRule="exact"/>
        <w:rPr>
          <w:rFonts w:ascii="Arial" w:cs="Arial" w:eastAsia="Arial" w:hAnsi="Arial"/>
          <w:sz w:val="22"/>
          <w:szCs w:val="22"/>
          <w:color w:val="auto"/>
        </w:rPr>
      </w:pPr>
    </w:p>
    <w:p>
      <w:pPr>
        <w:ind w:left="-60" w:right="280" w:firstLine="1305"/>
        <w:spacing w:after="0" w:line="251" w:lineRule="auto"/>
        <w:tabs>
          <w:tab w:leader="none" w:pos="2016" w:val="left"/>
        </w:tabs>
        <w:numPr>
          <w:ilvl w:val="0"/>
          <w:numId w:val="59"/>
        </w:numPr>
        <w:rPr>
          <w:rFonts w:ascii="Arial" w:cs="Arial" w:eastAsia="Arial" w:hAnsi="Arial"/>
          <w:sz w:val="22"/>
          <w:szCs w:val="22"/>
          <w:color w:val="auto"/>
        </w:rPr>
      </w:pPr>
      <w:r>
        <w:rPr>
          <w:rFonts w:ascii="Arial" w:cs="Arial" w:eastAsia="Arial" w:hAnsi="Arial"/>
          <w:sz w:val="22"/>
          <w:szCs w:val="22"/>
          <w:color w:val="auto"/>
        </w:rPr>
        <w:t>Exchange of Global Securities for Individual Securities. Except as provided below, owners of beneficial interests in Global Securities will not be entitled to receive Individual Securities.</w:t>
      </w:r>
    </w:p>
    <w:p>
      <w:pPr>
        <w:spacing w:after="0" w:line="200" w:lineRule="exact"/>
        <w:rPr>
          <w:rFonts w:ascii="Arial" w:cs="Arial" w:eastAsia="Arial" w:hAnsi="Arial"/>
          <w:sz w:val="22"/>
          <w:szCs w:val="22"/>
          <w:color w:val="auto"/>
        </w:rPr>
      </w:pPr>
    </w:p>
    <w:p>
      <w:pPr>
        <w:ind w:left="600" w:right="120" w:firstLine="1293"/>
        <w:spacing w:after="0" w:line="279" w:lineRule="auto"/>
        <w:tabs>
          <w:tab w:leader="none" w:pos="2641" w:val="left"/>
        </w:tabs>
        <w:numPr>
          <w:ilvl w:val="1"/>
          <w:numId w:val="59"/>
        </w:numPr>
        <w:rPr>
          <w:rFonts w:ascii="Arial" w:cs="Arial" w:eastAsia="Arial" w:hAnsi="Arial"/>
          <w:sz w:val="19"/>
          <w:szCs w:val="19"/>
          <w:color w:val="auto"/>
        </w:rPr>
      </w:pPr>
      <w:r>
        <w:rPr>
          <w:rFonts w:ascii="Arial" w:cs="Arial" w:eastAsia="Arial" w:hAnsi="Arial"/>
          <w:sz w:val="19"/>
          <w:szCs w:val="19"/>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68" w:name="page69"/>
    <w:bookmarkEnd w:id="68"/>
    <w:p>
      <w:pPr>
        <w:ind w:right="40"/>
        <w:spacing w:after="0" w:line="249" w:lineRule="auto"/>
        <w:rPr>
          <w:sz w:val="20"/>
          <w:szCs w:val="20"/>
          <w:color w:val="auto"/>
        </w:rPr>
      </w:pPr>
      <w:r>
        <w:rPr>
          <w:rFonts w:ascii="Arial" w:cs="Arial" w:eastAsia="Arial" w:hAnsi="Arial"/>
          <w:sz w:val="21"/>
          <w:szCs w:val="21"/>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206" w:lineRule="exact"/>
        <w:rPr>
          <w:sz w:val="20"/>
          <w:szCs w:val="20"/>
          <w:color w:val="auto"/>
        </w:rPr>
      </w:pPr>
    </w:p>
    <w:p>
      <w:pPr>
        <w:ind w:left="660" w:right="40" w:firstLine="1293"/>
        <w:spacing w:after="0" w:line="235" w:lineRule="auto"/>
        <w:tabs>
          <w:tab w:leader="none" w:pos="2707"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215" w:lineRule="exact"/>
        <w:rPr>
          <w:rFonts w:ascii="Arial" w:cs="Arial" w:eastAsia="Arial" w:hAnsi="Arial"/>
          <w:sz w:val="22"/>
          <w:szCs w:val="22"/>
          <w:color w:val="auto"/>
        </w:rPr>
      </w:pPr>
    </w:p>
    <w:p>
      <w:pPr>
        <w:ind w:left="660" w:right="460" w:firstLine="1941"/>
        <w:spacing w:after="0" w:line="274" w:lineRule="auto"/>
        <w:tabs>
          <w:tab w:leader="none" w:pos="3445"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Security Custodian and Registrar shall notify the Company and the Trustee of such instructions, identifying the owner and amount of such beneficial interest in such Global Security;</w:t>
      </w:r>
    </w:p>
    <w:p>
      <w:pPr>
        <w:spacing w:after="0" w:line="177" w:lineRule="exact"/>
        <w:rPr>
          <w:rFonts w:ascii="Arial" w:cs="Arial" w:eastAsia="Arial" w:hAnsi="Arial"/>
          <w:sz w:val="21"/>
          <w:szCs w:val="21"/>
          <w:color w:val="auto"/>
        </w:rPr>
      </w:pPr>
    </w:p>
    <w:p>
      <w:pPr>
        <w:ind w:left="660" w:right="60" w:firstLine="1941"/>
        <w:spacing w:after="0" w:line="297" w:lineRule="auto"/>
        <w:tabs>
          <w:tab w:leader="none" w:pos="3433"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61" w:lineRule="exact"/>
        <w:rPr>
          <w:rFonts w:ascii="Arial" w:cs="Arial" w:eastAsia="Arial" w:hAnsi="Arial"/>
          <w:sz w:val="19"/>
          <w:szCs w:val="19"/>
          <w:color w:val="auto"/>
        </w:rPr>
      </w:pPr>
    </w:p>
    <w:p>
      <w:pPr>
        <w:ind w:left="660" w:firstLine="1941"/>
        <w:spacing w:after="0" w:line="279" w:lineRule="auto"/>
        <w:tabs>
          <w:tab w:leader="none" w:pos="3433"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177" w:lineRule="exact"/>
        <w:rPr>
          <w:rFonts w:ascii="Arial" w:cs="Arial" w:eastAsia="Arial" w:hAnsi="Arial"/>
          <w:sz w:val="19"/>
          <w:szCs w:val="19"/>
          <w:color w:val="auto"/>
        </w:rPr>
      </w:pPr>
    </w:p>
    <w:p>
      <w:pPr>
        <w:ind w:left="660" w:right="140" w:firstLine="1293"/>
        <w:spacing w:after="0" w:line="287" w:lineRule="auto"/>
        <w:tabs>
          <w:tab w:leader="none" w:pos="2713" w:val="left"/>
        </w:tabs>
        <w:numPr>
          <w:ilvl w:val="0"/>
          <w:numId w:val="60"/>
        </w:numPr>
        <w:rPr>
          <w:rFonts w:ascii="Arial" w:cs="Arial" w:eastAsia="Arial" w:hAnsi="Arial"/>
          <w:sz w:val="19"/>
          <w:szCs w:val="19"/>
          <w:color w:val="auto"/>
        </w:rPr>
      </w:pPr>
      <w:r>
        <w:rPr>
          <w:rFonts w:ascii="Arial" w:cs="Arial" w:eastAsia="Arial" w:hAnsi="Arial"/>
          <w:sz w:val="19"/>
          <w:szCs w:val="19"/>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9" w:name="page70"/>
    <w:bookmarkEnd w:id="69"/>
    <w:p>
      <w:pPr>
        <w:jc w:val="both"/>
        <w:ind w:left="640" w:right="300" w:firstLine="1941"/>
        <w:spacing w:after="0" w:line="298" w:lineRule="auto"/>
        <w:tabs>
          <w:tab w:leader="none" w:pos="3425" w:val="left"/>
        </w:tabs>
        <w:numPr>
          <w:ilvl w:val="2"/>
          <w:numId w:val="61"/>
        </w:numPr>
        <w:rPr>
          <w:rFonts w:ascii="Arial" w:cs="Arial" w:eastAsia="Arial" w:hAnsi="Arial"/>
          <w:sz w:val="19"/>
          <w:szCs w:val="19"/>
          <w:color w:val="auto"/>
        </w:rPr>
      </w:pPr>
      <w:r>
        <w:rPr>
          <w:rFonts w:ascii="Arial" w:cs="Arial" w:eastAsia="Arial" w:hAnsi="Arial"/>
          <w:sz w:val="19"/>
          <w:szCs w:val="19"/>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59" w:lineRule="exact"/>
        <w:rPr>
          <w:rFonts w:ascii="Arial" w:cs="Arial" w:eastAsia="Arial" w:hAnsi="Arial"/>
          <w:sz w:val="19"/>
          <w:szCs w:val="19"/>
          <w:color w:val="auto"/>
        </w:rPr>
      </w:pPr>
    </w:p>
    <w:p>
      <w:pPr>
        <w:ind w:left="640" w:right="140" w:firstLine="1941"/>
        <w:spacing w:after="0"/>
        <w:tabs>
          <w:tab w:leader="none" w:pos="3413"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213" w:lineRule="exact"/>
        <w:rPr>
          <w:rFonts w:ascii="Arial" w:cs="Arial" w:eastAsia="Arial" w:hAnsi="Arial"/>
          <w:sz w:val="22"/>
          <w:szCs w:val="22"/>
          <w:color w:val="auto"/>
        </w:rPr>
      </w:pPr>
    </w:p>
    <w:p>
      <w:pPr>
        <w:ind w:left="640" w:right="160" w:firstLine="1293"/>
        <w:spacing w:after="0" w:line="251" w:lineRule="auto"/>
        <w:tabs>
          <w:tab w:leader="none" w:pos="2681" w:val="left"/>
        </w:tabs>
        <w:numPr>
          <w:ilvl w:val="1"/>
          <w:numId w:val="62"/>
        </w:numPr>
        <w:rPr>
          <w:rFonts w:ascii="Arial" w:cs="Arial" w:eastAsia="Arial" w:hAnsi="Arial"/>
          <w:sz w:val="22"/>
          <w:szCs w:val="22"/>
          <w:color w:val="auto"/>
        </w:rPr>
      </w:pPr>
      <w:r>
        <w:rPr>
          <w:rFonts w:ascii="Arial" w:cs="Arial" w:eastAsia="Arial" w:hAnsi="Arial"/>
          <w:sz w:val="22"/>
          <w:szCs w:val="22"/>
          <w:color w:val="auto"/>
        </w:rPr>
        <w:t>In any exchange provided for in clauses (i) through (iii), the Company will execute and the Trustee will authenticate and deliver Individual Securities in registered form in authorized denominations.</w:t>
      </w:r>
    </w:p>
    <w:p>
      <w:pPr>
        <w:spacing w:after="0" w:line="200" w:lineRule="exact"/>
        <w:rPr>
          <w:rFonts w:ascii="Arial" w:cs="Arial" w:eastAsia="Arial" w:hAnsi="Arial"/>
          <w:sz w:val="22"/>
          <w:szCs w:val="22"/>
          <w:color w:val="auto"/>
        </w:rPr>
      </w:pPr>
    </w:p>
    <w:p>
      <w:pPr>
        <w:ind w:left="640" w:right="140" w:firstLine="1293"/>
        <w:spacing w:after="0" w:line="282" w:lineRule="auto"/>
        <w:tabs>
          <w:tab w:leader="none" w:pos="2675" w:val="left"/>
        </w:tabs>
        <w:numPr>
          <w:ilvl w:val="1"/>
          <w:numId w:val="62"/>
        </w:numPr>
        <w:rPr>
          <w:rFonts w:ascii="Arial" w:cs="Arial" w:eastAsia="Arial" w:hAnsi="Arial"/>
          <w:sz w:val="19"/>
          <w:szCs w:val="19"/>
          <w:color w:val="auto"/>
        </w:rPr>
      </w:pPr>
      <w:r>
        <w:rPr>
          <w:rFonts w:ascii="Arial" w:cs="Arial" w:eastAsia="Arial" w:hAnsi="Arial"/>
          <w:sz w:val="19"/>
          <w:szCs w:val="19"/>
          <w:color w:val="auto"/>
        </w:rPr>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74" w:lineRule="exact"/>
        <w:rPr>
          <w:rFonts w:ascii="Arial" w:cs="Arial" w:eastAsia="Arial" w:hAnsi="Arial"/>
          <w:sz w:val="19"/>
          <w:szCs w:val="19"/>
          <w:color w:val="auto"/>
        </w:rPr>
      </w:pPr>
    </w:p>
    <w:p>
      <w:pPr>
        <w:ind w:left="-20" w:firstLine="1305"/>
        <w:spacing w:after="0"/>
        <w:tabs>
          <w:tab w:leader="none" w:pos="20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213" w:lineRule="exact"/>
        <w:rPr>
          <w:rFonts w:ascii="Arial" w:cs="Arial" w:eastAsia="Arial" w:hAnsi="Arial"/>
          <w:sz w:val="22"/>
          <w:szCs w:val="22"/>
          <w:color w:val="auto"/>
        </w:rPr>
      </w:pPr>
    </w:p>
    <w:p>
      <w:pPr>
        <w:jc w:val="both"/>
        <w:ind w:left="-20" w:right="60" w:firstLine="1305"/>
        <w:spacing w:after="0" w:line="238" w:lineRule="auto"/>
        <w:tabs>
          <w:tab w:leader="none" w:pos="2056" w:val="left"/>
        </w:tabs>
        <w:numPr>
          <w:ilvl w:val="0"/>
          <w:numId w:val="63"/>
        </w:numPr>
        <w:rPr>
          <w:rFonts w:ascii="Arial" w:cs="Arial" w:eastAsia="Arial" w:hAnsi="Arial"/>
          <w:sz w:val="22"/>
          <w:szCs w:val="22"/>
          <w:color w:val="auto"/>
        </w:rPr>
      </w:pPr>
      <w:r>
        <w:rPr>
          <w:rFonts w:ascii="Arial" w:cs="Arial" w:eastAsia="Arial" w:hAnsi="Arial"/>
          <w:sz w:val="22"/>
          <w:szCs w:val="22"/>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212" w:lineRule="exact"/>
        <w:rPr>
          <w:rFonts w:ascii="Arial" w:cs="Arial" w:eastAsia="Arial" w:hAnsi="Arial"/>
          <w:sz w:val="22"/>
          <w:szCs w:val="22"/>
          <w:color w:val="auto"/>
        </w:rPr>
      </w:pPr>
    </w:p>
    <w:p>
      <w:pPr>
        <w:ind w:left="-20" w:right="160" w:firstLine="1305"/>
        <w:spacing w:after="0" w:line="287" w:lineRule="auto"/>
        <w:tabs>
          <w:tab w:leader="none" w:pos="2033"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70" w:lineRule="exact"/>
        <w:rPr>
          <w:rFonts w:ascii="Arial" w:cs="Arial" w:eastAsia="Arial" w:hAnsi="Arial"/>
          <w:sz w:val="19"/>
          <w:szCs w:val="19"/>
          <w:color w:val="auto"/>
        </w:rPr>
      </w:pPr>
    </w:p>
    <w:p>
      <w:pPr>
        <w:ind w:left="-20" w:right="240" w:firstLine="1305"/>
        <w:spacing w:after="0" w:line="236" w:lineRule="auto"/>
        <w:tabs>
          <w:tab w:leader="none" w:pos="20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4.03 and ending at the close of business on the day of such transmission, or (ii) register, transfer or exchange any Security so selected for redemption in whole or in part, except the unredeemed portion of any Security being redeemed in part.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70" w:name="page71"/>
    <w:bookmarkEnd w:id="70"/>
    <w:p>
      <w:pPr>
        <w:ind w:left="-80" w:right="40" w:firstLine="1305"/>
        <w:spacing w:after="0" w:line="282" w:lineRule="auto"/>
        <w:tabs>
          <w:tab w:leader="none" w:pos="20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175" w:lineRule="exact"/>
        <w:rPr>
          <w:rFonts w:ascii="Arial" w:cs="Arial" w:eastAsia="Arial" w:hAnsi="Arial"/>
          <w:sz w:val="19"/>
          <w:szCs w:val="19"/>
          <w:color w:val="auto"/>
        </w:rPr>
      </w:pPr>
    </w:p>
    <w:p>
      <w:pPr>
        <w:ind w:left="-80" w:right="20" w:firstLine="1305"/>
        <w:spacing w:after="0" w:line="274" w:lineRule="auto"/>
        <w:tabs>
          <w:tab w:leader="none" w:pos="2015"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 case a successor Company (“Successor Company”) has executed an indenture supplemental hereto with the Trustee pursuant to Article XIV,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185" w:lineRule="exact"/>
        <w:rPr>
          <w:rFonts w:ascii="Arial" w:cs="Arial" w:eastAsia="Arial" w:hAnsi="Arial"/>
          <w:sz w:val="19"/>
          <w:szCs w:val="19"/>
          <w:color w:val="auto"/>
        </w:rPr>
      </w:pPr>
    </w:p>
    <w:p>
      <w:pPr>
        <w:ind w:left="-80" w:right="60" w:firstLine="1305"/>
        <w:spacing w:after="0"/>
        <w:tabs>
          <w:tab w:leader="none" w:pos="2015"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Holder of a Security agrees to indemnify the Company and the Trustee against any liability that may result from the transfer, exchange or assignment of such Holder’s Security in violation of any provision of this Indenture and/or applicable United States federal or state securities laws.</w:t>
      </w:r>
    </w:p>
    <w:p>
      <w:pPr>
        <w:spacing w:after="0" w:line="213" w:lineRule="exact"/>
        <w:rPr>
          <w:rFonts w:ascii="Arial" w:cs="Arial" w:eastAsia="Arial" w:hAnsi="Arial"/>
          <w:sz w:val="22"/>
          <w:szCs w:val="22"/>
          <w:color w:val="auto"/>
        </w:rPr>
      </w:pPr>
    </w:p>
    <w:p>
      <w:pPr>
        <w:ind w:left="-80" w:firstLine="1305"/>
        <w:spacing w:after="0" w:line="236" w:lineRule="auto"/>
        <w:tabs>
          <w:tab w:leader="none" w:pos="2009"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14" w:lineRule="exact"/>
        <w:rPr>
          <w:rFonts w:ascii="Arial" w:cs="Arial" w:eastAsia="Arial" w:hAnsi="Arial"/>
          <w:sz w:val="22"/>
          <w:szCs w:val="22"/>
          <w:color w:val="auto"/>
        </w:rPr>
      </w:pPr>
    </w:p>
    <w:p>
      <w:pPr>
        <w:ind w:left="-80" w:right="160" w:firstLine="1305"/>
        <w:spacing w:after="0" w:line="251" w:lineRule="auto"/>
        <w:tabs>
          <w:tab w:leader="none" w:pos="2015" w:val="left"/>
        </w:tabs>
        <w:numPr>
          <w:ilvl w:val="0"/>
          <w:numId w:val="64"/>
        </w:numPr>
        <w:rPr>
          <w:rFonts w:ascii="Arial" w:cs="Arial" w:eastAsia="Arial" w:hAnsi="Arial"/>
          <w:sz w:val="22"/>
          <w:szCs w:val="22"/>
          <w:color w:val="auto"/>
        </w:rPr>
      </w:pPr>
      <w:r>
        <w:rPr>
          <w:rFonts w:ascii="Arial" w:cs="Arial" w:eastAsia="Arial" w:hAnsi="Arial"/>
          <w:sz w:val="22"/>
          <w:szCs w:val="22"/>
          <w:color w:val="auto"/>
        </w:rPr>
        <w:t>Neither the Trustee nor any agent of the Trustee shall have any responsibility for any actions taken or not taken by the Depositary.</w:t>
      </w:r>
    </w:p>
    <w:p>
      <w:pPr>
        <w:spacing w:after="0" w:line="200" w:lineRule="exact"/>
        <w:rPr>
          <w:sz w:val="20"/>
          <w:szCs w:val="20"/>
          <w:color w:val="auto"/>
        </w:rPr>
      </w:pPr>
    </w:p>
    <w:p>
      <w:pPr>
        <w:ind w:left="580"/>
        <w:spacing w:after="0"/>
        <w:tabs>
          <w:tab w:leader="none" w:pos="212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Mutilated, Destroyed, Lost and Stolen Securities</w:t>
      </w:r>
      <w:r>
        <w:rPr>
          <w:rFonts w:ascii="Arial" w:cs="Arial" w:eastAsia="Arial" w:hAnsi="Arial"/>
          <w:sz w:val="19"/>
          <w:szCs w:val="19"/>
          <w:color w:val="auto"/>
        </w:rPr>
        <w:t>.</w:t>
      </w:r>
    </w:p>
    <w:p>
      <w:pPr>
        <w:spacing w:after="0" w:line="233" w:lineRule="exact"/>
        <w:rPr>
          <w:sz w:val="20"/>
          <w:szCs w:val="20"/>
          <w:color w:val="auto"/>
        </w:rPr>
      </w:pPr>
    </w:p>
    <w:p>
      <w:pPr>
        <w:ind w:left="-80" w:right="60" w:firstLine="1305"/>
        <w:spacing w:after="0" w:line="246" w:lineRule="auto"/>
        <w:tabs>
          <w:tab w:leader="none" w:pos="1996" w:val="left"/>
        </w:tabs>
        <w:numPr>
          <w:ilvl w:val="0"/>
          <w:numId w:val="65"/>
        </w:numPr>
        <w:rPr>
          <w:rFonts w:ascii="Arial" w:cs="Arial" w:eastAsia="Arial" w:hAnsi="Arial"/>
          <w:sz w:val="21"/>
          <w:szCs w:val="21"/>
          <w:color w:val="auto"/>
        </w:rPr>
      </w:pPr>
      <w:r>
        <w:rPr>
          <w:rFonts w:ascii="Arial" w:cs="Arial" w:eastAsia="Arial" w:hAnsi="Arial"/>
          <w:sz w:val="21"/>
          <w:szCs w:val="21"/>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1" w:name="page72"/>
    <w:bookmarkEnd w:id="71"/>
    <w:p>
      <w:pPr>
        <w:ind w:left="-20" w:right="180" w:firstLine="1305"/>
        <w:spacing w:after="0" w:line="241" w:lineRule="auto"/>
        <w:tabs>
          <w:tab w:leader="none" w:pos="2069"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210" w:lineRule="exact"/>
        <w:rPr>
          <w:rFonts w:ascii="Arial" w:cs="Arial" w:eastAsia="Arial" w:hAnsi="Arial"/>
          <w:sz w:val="22"/>
          <w:szCs w:val="22"/>
          <w:color w:val="auto"/>
        </w:rPr>
      </w:pPr>
    </w:p>
    <w:p>
      <w:pPr>
        <w:ind w:left="-20" w:right="80" w:firstLine="1305"/>
        <w:spacing w:after="0"/>
        <w:tabs>
          <w:tab w:leader="none" w:pos="2056" w:val="left"/>
        </w:tabs>
        <w:numPr>
          <w:ilvl w:val="0"/>
          <w:numId w:val="66"/>
        </w:numPr>
        <w:rPr>
          <w:rFonts w:ascii="Arial" w:cs="Arial" w:eastAsia="Arial" w:hAnsi="Arial"/>
          <w:sz w:val="22"/>
          <w:szCs w:val="22"/>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213" w:lineRule="exact"/>
        <w:rPr>
          <w:rFonts w:ascii="Arial" w:cs="Arial" w:eastAsia="Arial" w:hAnsi="Arial"/>
          <w:sz w:val="22"/>
          <w:szCs w:val="22"/>
          <w:color w:val="auto"/>
        </w:rPr>
      </w:pPr>
    </w:p>
    <w:p>
      <w:pPr>
        <w:ind w:left="-20" w:right="20" w:firstLine="1305"/>
        <w:spacing w:after="0" w:line="238" w:lineRule="auto"/>
        <w:tabs>
          <w:tab w:leader="none" w:pos="2069" w:val="left"/>
        </w:tabs>
        <w:numPr>
          <w:ilvl w:val="0"/>
          <w:numId w:val="66"/>
        </w:numPr>
        <w:rPr>
          <w:rFonts w:ascii="Arial" w:cs="Arial" w:eastAsia="Arial" w:hAnsi="Arial"/>
          <w:sz w:val="22"/>
          <w:szCs w:val="22"/>
          <w:color w:val="auto"/>
        </w:rPr>
      </w:pPr>
      <w:r>
        <w:rPr>
          <w:rFonts w:ascii="Arial" w:cs="Arial" w:eastAsia="Arial" w:hAnsi="Arial"/>
          <w:sz w:val="22"/>
          <w:szCs w:val="22"/>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212" w:lineRule="exact"/>
        <w:rPr>
          <w:rFonts w:ascii="Arial" w:cs="Arial" w:eastAsia="Arial" w:hAnsi="Arial"/>
          <w:sz w:val="22"/>
          <w:szCs w:val="22"/>
          <w:color w:val="auto"/>
        </w:rPr>
      </w:pPr>
    </w:p>
    <w:p>
      <w:pPr>
        <w:ind w:left="-20" w:right="380" w:firstLine="1305"/>
        <w:spacing w:after="0" w:line="251" w:lineRule="auto"/>
        <w:tabs>
          <w:tab w:leader="none" w:pos="205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Securities.</w:t>
      </w:r>
    </w:p>
    <w:p>
      <w:pPr>
        <w:spacing w:after="0" w:line="200"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u w:val="single" w:color="auto"/>
          <w:color w:val="auto"/>
        </w:rPr>
        <w:t>Payment of Interest; Interest Rights Preserved</w:t>
      </w:r>
      <w:r>
        <w:rPr>
          <w:rFonts w:ascii="Arial" w:cs="Arial" w:eastAsia="Arial" w:hAnsi="Arial"/>
          <w:sz w:val="19"/>
          <w:szCs w:val="19"/>
          <w:color w:val="auto"/>
        </w:rPr>
        <w:t>.</w:t>
      </w:r>
    </w:p>
    <w:p>
      <w:pPr>
        <w:spacing w:after="0" w:line="233" w:lineRule="exact"/>
        <w:rPr>
          <w:sz w:val="20"/>
          <w:szCs w:val="20"/>
          <w:color w:val="auto"/>
        </w:rPr>
      </w:pPr>
    </w:p>
    <w:p>
      <w:pPr>
        <w:ind w:left="-20" w:firstLine="1305"/>
        <w:spacing w:after="0" w:line="247" w:lineRule="auto"/>
        <w:tabs>
          <w:tab w:leader="none" w:pos="2056" w:val="left"/>
        </w:tabs>
        <w:numPr>
          <w:ilvl w:val="0"/>
          <w:numId w:val="67"/>
        </w:numPr>
        <w:rPr>
          <w:rFonts w:ascii="Arial" w:cs="Arial" w:eastAsia="Arial" w:hAnsi="Arial"/>
          <w:sz w:val="21"/>
          <w:szCs w:val="21"/>
          <w:color w:val="auto"/>
        </w:rPr>
      </w:pPr>
      <w:r>
        <w:rPr>
          <w:rFonts w:ascii="Arial" w:cs="Arial" w:eastAsia="Arial" w:hAnsi="Arial"/>
          <w:sz w:val="21"/>
          <w:szCs w:val="21"/>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205" w:lineRule="exact"/>
        <w:rPr>
          <w:rFonts w:ascii="Arial" w:cs="Arial" w:eastAsia="Arial" w:hAnsi="Arial"/>
          <w:sz w:val="21"/>
          <w:szCs w:val="21"/>
          <w:color w:val="auto"/>
        </w:rPr>
      </w:pPr>
    </w:p>
    <w:p>
      <w:pPr>
        <w:jc w:val="both"/>
        <w:ind w:left="-20" w:right="100" w:firstLine="1305"/>
        <w:spacing w:after="0" w:line="238" w:lineRule="auto"/>
        <w:tabs>
          <w:tab w:leader="none" w:pos="2069"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72" w:name="page73"/>
    <w:bookmarkEnd w:id="72"/>
    <w:p>
      <w:pPr>
        <w:ind w:left="660" w:firstLine="1293"/>
        <w:spacing w:after="0" w:line="270" w:lineRule="auto"/>
        <w:tabs>
          <w:tab w:leader="none" w:pos="2755"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660" w:right="100" w:firstLine="1293"/>
        <w:spacing w:after="0" w:line="287" w:lineRule="auto"/>
        <w:tabs>
          <w:tab w:leader="none" w:pos="2761"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0" w:lineRule="exact"/>
        <w:rPr>
          <w:rFonts w:ascii="Arial" w:cs="Arial" w:eastAsia="Arial" w:hAnsi="Arial"/>
          <w:sz w:val="19"/>
          <w:szCs w:val="19"/>
          <w:color w:val="auto"/>
        </w:rPr>
      </w:pPr>
    </w:p>
    <w:p>
      <w:pPr>
        <w:jc w:val="both"/>
        <w:ind w:right="140" w:firstLine="1305"/>
        <w:spacing w:after="0" w:line="297" w:lineRule="auto"/>
        <w:tabs>
          <w:tab w:leader="none" w:pos="2076"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61" w:lineRule="exact"/>
        <w:rPr>
          <w:sz w:val="20"/>
          <w:szCs w:val="20"/>
          <w:color w:val="auto"/>
        </w:rPr>
      </w:pPr>
    </w:p>
    <w:p>
      <w:pPr>
        <w:ind w:right="60" w:firstLine="648"/>
        <w:spacing w:after="0" w:line="244"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u w:val="single" w:color="auto"/>
          <w:color w:val="auto"/>
        </w:rPr>
        <w:t>Cancellation</w:t>
      </w:r>
      <w:r>
        <w:rPr>
          <w:rFonts w:ascii="Arial" w:cs="Arial" w:eastAsia="Arial" w:hAnsi="Arial"/>
          <w:sz w:val="21"/>
          <w:szCs w:val="21"/>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written request therefor. The acquisition of any Securities by the Company shall not operate as a redemption or satisfaction of the Indebtedness represented thereby unless and until such Securities are surrendered to the Trustee for cancellation.</w:t>
      </w:r>
    </w:p>
    <w:p>
      <w:pPr>
        <w:spacing w:after="0" w:line="217" w:lineRule="exact"/>
        <w:rPr>
          <w:sz w:val="20"/>
          <w:szCs w:val="20"/>
          <w:color w:val="auto"/>
        </w:rPr>
      </w:pPr>
    </w:p>
    <w:p>
      <w:pPr>
        <w:ind w:right="500" w:firstLine="648"/>
        <w:spacing w:after="0" w:line="328"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Computation of Interest</w:t>
      </w:r>
      <w:r>
        <w:rPr>
          <w:rFonts w:ascii="Arial" w:cs="Arial" w:eastAsia="Arial" w:hAnsi="Arial"/>
          <w:sz w:val="19"/>
          <w:szCs w:val="19"/>
          <w:color w:val="auto"/>
        </w:rPr>
        <w:t>. Except as otherwise specified pursuant to Section 3.01 for Securities of any series, interest on the Securities of each series shall be computed on the basis of a 360-day year of twelve 30-day months.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ind w:left="660"/>
        <w:spacing w:after="0"/>
        <w:tabs>
          <w:tab w:leader="none" w:pos="220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Currency of Payments in Respect of Securities</w:t>
      </w:r>
      <w:r>
        <w:rPr>
          <w:rFonts w:ascii="Arial" w:cs="Arial" w:eastAsia="Arial" w:hAnsi="Arial"/>
          <w:sz w:val="19"/>
          <w:szCs w:val="19"/>
          <w:color w:val="auto"/>
        </w:rPr>
        <w:t>.</w:t>
      </w:r>
    </w:p>
    <w:p>
      <w:pPr>
        <w:spacing w:after="0" w:line="234" w:lineRule="exact"/>
        <w:rPr>
          <w:sz w:val="20"/>
          <w:szCs w:val="20"/>
          <w:color w:val="auto"/>
        </w:rPr>
      </w:pPr>
    </w:p>
    <w:p>
      <w:pPr>
        <w:ind w:right="20" w:firstLine="1305"/>
        <w:spacing w:after="0" w:line="251" w:lineRule="auto"/>
        <w:tabs>
          <w:tab w:leader="none" w:pos="2076" w:val="left"/>
        </w:tabs>
        <w:numPr>
          <w:ilvl w:val="0"/>
          <w:numId w:val="70"/>
        </w:numPr>
        <w:rPr>
          <w:rFonts w:ascii="Arial" w:cs="Arial" w:eastAsia="Arial" w:hAnsi="Arial"/>
          <w:sz w:val="22"/>
          <w:szCs w:val="22"/>
          <w:color w:val="auto"/>
        </w:rPr>
      </w:pPr>
      <w:r>
        <w:rPr>
          <w:rFonts w:ascii="Arial" w:cs="Arial" w:eastAsia="Arial" w:hAnsi="Arial"/>
          <w:sz w:val="22"/>
          <w:szCs w:val="22"/>
          <w:color w:val="auto"/>
        </w:rPr>
        <w:t>Except as otherwise specified pursuant to Section 3.01 for Securities of any series, payment of the principal of and premium, if any, and interest on Securities of such series will be made in U.S. Dollars.</w:t>
      </w:r>
    </w:p>
    <w:p>
      <w:pPr>
        <w:spacing w:after="0" w:line="200" w:lineRule="exact"/>
        <w:rPr>
          <w:rFonts w:ascii="Arial" w:cs="Arial" w:eastAsia="Arial" w:hAnsi="Arial"/>
          <w:sz w:val="22"/>
          <w:szCs w:val="22"/>
          <w:color w:val="auto"/>
        </w:rPr>
      </w:pPr>
    </w:p>
    <w:p>
      <w:pPr>
        <w:ind w:firstLine="1305"/>
        <w:spacing w:after="0" w:line="234" w:lineRule="auto"/>
        <w:tabs>
          <w:tab w:leader="none" w:pos="2089" w:val="left"/>
        </w:tabs>
        <w:numPr>
          <w:ilvl w:val="0"/>
          <w:numId w:val="70"/>
        </w:numPr>
        <w:rPr>
          <w:rFonts w:ascii="Arial" w:cs="Arial" w:eastAsia="Arial" w:hAnsi="Arial"/>
          <w:sz w:val="22"/>
          <w:szCs w:val="22"/>
          <w:color w:val="auto"/>
        </w:rPr>
      </w:pPr>
      <w:r>
        <w:rPr>
          <w:rFonts w:ascii="Arial" w:cs="Arial" w:eastAsia="Arial" w:hAnsi="Arial"/>
          <w:sz w:val="22"/>
          <w:szCs w:val="22"/>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214" w:lineRule="exact"/>
        <w:rPr>
          <w:rFonts w:ascii="Arial" w:cs="Arial" w:eastAsia="Arial" w:hAnsi="Arial"/>
          <w:sz w:val="22"/>
          <w:szCs w:val="22"/>
          <w:color w:val="auto"/>
        </w:rPr>
      </w:pPr>
    </w:p>
    <w:p>
      <w:pPr>
        <w:ind w:firstLine="1305"/>
        <w:spacing w:after="0" w:line="279" w:lineRule="auto"/>
        <w:tabs>
          <w:tab w:leader="none" w:pos="2076"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Any decision or determination to be made regarding exchange rates shall be made by an agent appointed by the Company; </w:t>
      </w:r>
      <w:r>
        <w:rPr>
          <w:rFonts w:ascii="Arial" w:cs="Arial" w:eastAsia="Arial" w:hAnsi="Arial"/>
          <w:sz w:val="19"/>
          <w:szCs w:val="19"/>
          <w:i w:val="1"/>
          <w:iCs w:val="1"/>
          <w:color w:val="auto"/>
        </w:rPr>
        <w:t>provided</w:t>
      </w:r>
      <w:r>
        <w:rPr>
          <w:rFonts w:ascii="Arial" w:cs="Arial" w:eastAsia="Arial" w:hAnsi="Arial"/>
          <w:sz w:val="19"/>
          <w:szCs w:val="19"/>
          <w:color w:val="auto"/>
        </w:rPr>
        <w:t>,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Judgments</w:t>
      </w:r>
      <w:r>
        <w:rPr>
          <w:rFonts w:ascii="Arial" w:cs="Arial" w:eastAsia="Arial" w:hAnsi="Arial"/>
          <w:sz w:val="19"/>
          <w:szCs w:val="19"/>
          <w:color w:val="auto"/>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4" w:name="page75"/>
    <w:bookmarkEnd w:id="74"/>
    <w:p>
      <w:pPr>
        <w:ind w:right="20" w:firstLine="648"/>
        <w:spacing w:after="0" w:line="234"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CUSIP Numbers</w:t>
      </w:r>
      <w:r>
        <w:rPr>
          <w:rFonts w:ascii="Arial" w:cs="Arial" w:eastAsia="Arial" w:hAnsi="Arial"/>
          <w:sz w:val="22"/>
          <w:szCs w:val="22"/>
          <w:color w:val="auto"/>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REDEMPTION OF SECURITIES</w:t>
      </w:r>
    </w:p>
    <w:p>
      <w:pPr>
        <w:spacing w:after="0" w:line="23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Applicability of Right of Redemption</w:t>
      </w:r>
      <w:r>
        <w:rPr>
          <w:rFonts w:ascii="Arial" w:cs="Arial" w:eastAsia="Arial" w:hAnsi="Arial"/>
          <w:sz w:val="19"/>
          <w:szCs w:val="19"/>
          <w:color w:val="auto"/>
        </w:rPr>
        <w:t xml:space="preserve">.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such terms of a series of Securities shall conflict with any provision of this Article, the terms of such series shall govern.</w:t>
      </w:r>
    </w:p>
    <w:p>
      <w:pPr>
        <w:spacing w:after="0" w:line="17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Selection of Securities to be Redeemed</w:t>
      </w:r>
      <w:r>
        <w:rPr>
          <w:rFonts w:ascii="Arial" w:cs="Arial" w:eastAsia="Arial" w:hAnsi="Arial"/>
          <w:sz w:val="19"/>
          <w:szCs w:val="19"/>
          <w:color w:val="auto"/>
        </w:rPr>
        <w:t>.</w:t>
      </w:r>
    </w:p>
    <w:p>
      <w:pPr>
        <w:spacing w:after="0" w:line="233" w:lineRule="exact"/>
        <w:rPr>
          <w:sz w:val="20"/>
          <w:szCs w:val="20"/>
          <w:color w:val="auto"/>
        </w:rPr>
      </w:pPr>
    </w:p>
    <w:p>
      <w:pPr>
        <w:ind w:right="80" w:firstLine="1305"/>
        <w:spacing w:after="0" w:line="274" w:lineRule="auto"/>
        <w:tabs>
          <w:tab w:leader="none" w:pos="2076"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If the Company shall at any time elect to redeem all or any portion of the Securities of a series then Outstanding, it shall at least 45 days prior to the Redemption Date fixed by the Company (unless a shorter period shall be satisfactory to the Trustee) notify the Trustee of such Redemption Date and of the principal amount of Securities to be redeemed, and thereupon the Trustee shall select, by lot or in such other manner as the Trustee shall deem appropriate and which may provide for the selection for redemption of a portion of the principal amount of any Security of such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185" w:lineRule="exact"/>
        <w:rPr>
          <w:rFonts w:ascii="Arial" w:cs="Arial" w:eastAsia="Arial" w:hAnsi="Arial"/>
          <w:sz w:val="19"/>
          <w:szCs w:val="19"/>
          <w:color w:val="auto"/>
        </w:rPr>
      </w:pPr>
    </w:p>
    <w:p>
      <w:pPr>
        <w:ind w:right="340" w:firstLine="1305"/>
        <w:spacing w:after="0" w:line="287" w:lineRule="auto"/>
        <w:tabs>
          <w:tab w:leader="none" w:pos="2089" w:val="left"/>
        </w:tabs>
        <w:numPr>
          <w:ilvl w:val="0"/>
          <w:numId w:val="71"/>
        </w:numPr>
        <w:rPr>
          <w:rFonts w:ascii="Arial" w:cs="Arial" w:eastAsia="Arial" w:hAnsi="Arial"/>
          <w:sz w:val="19"/>
          <w:szCs w:val="19"/>
          <w:color w:val="auto"/>
        </w:rPr>
      </w:pPr>
      <w:r>
        <w:rPr>
          <w:rFonts w:ascii="Arial" w:cs="Arial" w:eastAsia="Arial" w:hAnsi="Arial"/>
          <w:sz w:val="19"/>
          <w:szCs w:val="19"/>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5" w:name="page76"/>
    <w:bookmarkEnd w:id="75"/>
    <w:p>
      <w:pPr>
        <w:ind w:left="660"/>
        <w:spacing w:after="0"/>
        <w:tabs>
          <w:tab w:leader="none" w:pos="226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Notice of Redemption</w:t>
      </w:r>
      <w:r>
        <w:rPr>
          <w:rFonts w:ascii="Arial" w:cs="Arial" w:eastAsia="Arial" w:hAnsi="Arial"/>
          <w:sz w:val="19"/>
          <w:szCs w:val="19"/>
          <w:color w:val="auto"/>
        </w:rPr>
        <w:t>.</w:t>
      </w:r>
    </w:p>
    <w:p>
      <w:pPr>
        <w:spacing w:after="0" w:line="234" w:lineRule="exact"/>
        <w:rPr>
          <w:sz w:val="20"/>
          <w:szCs w:val="20"/>
          <w:color w:val="auto"/>
        </w:rPr>
      </w:pPr>
    </w:p>
    <w:p>
      <w:pPr>
        <w:ind w:right="40" w:firstLine="1305"/>
        <w:spacing w:after="0" w:line="247" w:lineRule="auto"/>
        <w:tabs>
          <w:tab w:leader="none" w:pos="2076" w:val="left"/>
        </w:tabs>
        <w:numPr>
          <w:ilvl w:val="0"/>
          <w:numId w:val="72"/>
        </w:numPr>
        <w:rPr>
          <w:rFonts w:ascii="Arial" w:cs="Arial" w:eastAsia="Arial" w:hAnsi="Arial"/>
          <w:sz w:val="21"/>
          <w:szCs w:val="21"/>
          <w:color w:val="auto"/>
        </w:rPr>
      </w:pPr>
      <w:r>
        <w:rPr>
          <w:rFonts w:ascii="Arial" w:cs="Arial" w:eastAsia="Arial" w:hAnsi="Arial"/>
          <w:sz w:val="21"/>
          <w:szCs w:val="21"/>
          <w:color w:val="auto"/>
        </w:rPr>
        <w:t>Notice of redemption shall be given by the Company or, at the Company’s request, by the Trustee in the name and at the expense of the Company, not less than 30 nor more than 60 days prior to the Redemption Date (unless a shorter period shall be satisfactory to the Trustee),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205" w:lineRule="exact"/>
        <w:rPr>
          <w:rFonts w:ascii="Arial" w:cs="Arial" w:eastAsia="Arial" w:hAnsi="Arial"/>
          <w:sz w:val="21"/>
          <w:szCs w:val="21"/>
          <w:color w:val="auto"/>
        </w:rPr>
      </w:pPr>
    </w:p>
    <w:p>
      <w:pPr>
        <w:ind w:right="440" w:firstLine="1305"/>
        <w:spacing w:after="0" w:line="251" w:lineRule="auto"/>
        <w:tabs>
          <w:tab w:leader="none" w:pos="2089"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notices of redemption shall identify the Securities to be redeemed (including CUSIP, ISIN or other similar numbers, if available) and shall state:</w:t>
      </w:r>
    </w:p>
    <w:p>
      <w:pPr>
        <w:spacing w:after="0" w:line="200" w:lineRule="exact"/>
        <w:rPr>
          <w:rFonts w:ascii="Arial" w:cs="Arial" w:eastAsia="Arial" w:hAnsi="Arial"/>
          <w:sz w:val="22"/>
          <w:szCs w:val="22"/>
          <w:color w:val="auto"/>
        </w:rPr>
      </w:pPr>
    </w:p>
    <w:p>
      <w:pPr>
        <w:ind w:left="660" w:right="40" w:firstLine="1293"/>
        <w:spacing w:after="0"/>
        <w:tabs>
          <w:tab w:leader="none" w:pos="2701" w:val="left"/>
        </w:tabs>
        <w:numPr>
          <w:ilvl w:val="1"/>
          <w:numId w:val="72"/>
        </w:numPr>
        <w:rPr>
          <w:rFonts w:ascii="Arial" w:cs="Arial" w:eastAsia="Arial" w:hAnsi="Arial"/>
          <w:sz w:val="22"/>
          <w:szCs w:val="22"/>
          <w:color w:val="auto"/>
        </w:rPr>
      </w:pPr>
      <w:r>
        <w:rPr>
          <w:rFonts w:ascii="Arial" w:cs="Arial" w:eastAsia="Arial" w:hAnsi="Arial"/>
          <w:sz w:val="22"/>
          <w:szCs w:val="22"/>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213" w:lineRule="exact"/>
        <w:rPr>
          <w:rFonts w:ascii="Arial" w:cs="Arial" w:eastAsia="Arial" w:hAnsi="Arial"/>
          <w:sz w:val="22"/>
          <w:szCs w:val="22"/>
          <w:color w:val="auto"/>
        </w:rPr>
      </w:pPr>
    </w:p>
    <w:p>
      <w:pPr>
        <w:ind w:left="2700" w:hanging="747"/>
        <w:spacing w:after="0"/>
        <w:tabs>
          <w:tab w:leader="none" w:pos="27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2700" w:hanging="747"/>
        <w:spacing w:after="0"/>
        <w:tabs>
          <w:tab w:leader="none" w:pos="27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rFonts w:ascii="Arial" w:cs="Arial" w:eastAsia="Arial" w:hAnsi="Arial"/>
          <w:sz w:val="22"/>
          <w:szCs w:val="22"/>
          <w:color w:val="auto"/>
        </w:rPr>
      </w:pPr>
    </w:p>
    <w:p>
      <w:pPr>
        <w:ind w:left="660" w:right="20" w:firstLine="1293"/>
        <w:spacing w:after="0" w:line="251" w:lineRule="auto"/>
        <w:tabs>
          <w:tab w:leader="none" w:pos="2701" w:val="left"/>
        </w:tabs>
        <w:numPr>
          <w:ilvl w:val="1"/>
          <w:numId w:val="72"/>
        </w:numPr>
        <w:rPr>
          <w:rFonts w:ascii="Arial" w:cs="Arial" w:eastAsia="Arial" w:hAnsi="Arial"/>
          <w:sz w:val="22"/>
          <w:szCs w:val="22"/>
          <w:color w:val="auto"/>
        </w:rPr>
      </w:pPr>
      <w:r>
        <w:rPr>
          <w:rFonts w:ascii="Arial" w:cs="Arial" w:eastAsia="Arial" w:hAnsi="Arial"/>
          <w:sz w:val="22"/>
          <w:szCs w:val="22"/>
          <w:color w:val="auto"/>
        </w:rPr>
        <w:t>if less than all Outstanding Securities of any series are to be redeemed, the identification (and, in the case of partial redemption, the principal amounts) of the Securities of such series to be redeemed;</w:t>
      </w:r>
    </w:p>
    <w:p>
      <w:pPr>
        <w:spacing w:after="0" w:line="200" w:lineRule="exact"/>
        <w:rPr>
          <w:rFonts w:ascii="Arial" w:cs="Arial" w:eastAsia="Arial" w:hAnsi="Arial"/>
          <w:sz w:val="22"/>
          <w:szCs w:val="22"/>
          <w:color w:val="auto"/>
        </w:rPr>
      </w:pPr>
    </w:p>
    <w:p>
      <w:pPr>
        <w:ind w:left="660" w:right="320" w:firstLine="1293"/>
        <w:spacing w:after="0" w:line="328" w:lineRule="auto"/>
        <w:tabs>
          <w:tab w:leader="none" w:pos="2695"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that on the Redemption Date the Redemption Price will become due and payable upon each such Security to be redeemed, and that, if applicable, interest thereon shall cease to accrue on and after said date;</w:t>
      </w:r>
    </w:p>
    <w:p>
      <w:pPr>
        <w:spacing w:after="0" w:line="132" w:lineRule="exact"/>
        <w:rPr>
          <w:rFonts w:ascii="Arial" w:cs="Arial" w:eastAsia="Arial" w:hAnsi="Arial"/>
          <w:sz w:val="19"/>
          <w:szCs w:val="19"/>
          <w:color w:val="auto"/>
        </w:rPr>
      </w:pPr>
    </w:p>
    <w:p>
      <w:pPr>
        <w:ind w:left="2700" w:hanging="747"/>
        <w:spacing w:after="0"/>
        <w:tabs>
          <w:tab w:leader="none" w:pos="27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Place or Places of Payment where such Securities are to be surrendered for payment of the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Redemption Price; and</w:t>
      </w:r>
    </w:p>
    <w:p>
      <w:pPr>
        <w:spacing w:after="0" w:line="215" w:lineRule="exact"/>
        <w:rPr>
          <w:rFonts w:ascii="Arial" w:cs="Arial" w:eastAsia="Arial" w:hAnsi="Arial"/>
          <w:sz w:val="19"/>
          <w:szCs w:val="19"/>
          <w:color w:val="auto"/>
        </w:rPr>
      </w:pPr>
    </w:p>
    <w:p>
      <w:pPr>
        <w:ind w:left="2700" w:hanging="747"/>
        <w:spacing w:after="0"/>
        <w:tabs>
          <w:tab w:leader="none" w:pos="27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that the redemption is for a sinking fund, if such is the case;</w:t>
      </w:r>
    </w:p>
    <w:p>
      <w:pPr>
        <w:spacing w:after="0" w:line="233"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Deposit of Redemption Price</w:t>
      </w:r>
      <w:r>
        <w:rPr>
          <w:rFonts w:ascii="Arial" w:cs="Arial" w:eastAsia="Arial" w:hAnsi="Arial"/>
          <w:sz w:val="22"/>
          <w:szCs w:val="22"/>
          <w:color w:val="auto"/>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215"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u w:val="single" w:color="auto"/>
          <w:color w:val="auto"/>
        </w:rPr>
        <w:t>Securities Payable on Redemption Date</w:t>
      </w:r>
      <w:r>
        <w:rPr>
          <w:rFonts w:ascii="Arial" w:cs="Arial" w:eastAsia="Arial" w:hAnsi="Arial"/>
          <w:sz w:val="21"/>
          <w:szCs w:val="21"/>
          <w:color w:val="auto"/>
        </w:rPr>
        <w:t xml:space="preserve">.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6" w:name="page77"/>
    <w:bookmarkEnd w:id="76"/>
    <w:p>
      <w:pPr>
        <w:spacing w:after="0" w:line="329" w:lineRule="auto"/>
        <w:rPr>
          <w:sz w:val="20"/>
          <w:szCs w:val="20"/>
          <w:color w:val="auto"/>
        </w:rPr>
      </w:pPr>
      <w:r>
        <w:rPr>
          <w:rFonts w:ascii="Arial" w:cs="Arial" w:eastAsia="Arial" w:hAnsi="Arial"/>
          <w:sz w:val="19"/>
          <w:szCs w:val="19"/>
          <w:color w:val="auto"/>
        </w:rPr>
        <w:t>If any Security called for redemption shall not be so paid upon surrender thereof for redemption, the principal thereof and premium, if any, thereon shall, until paid, bear interest from the Redemption Date at the rate prescribed therefor in the Security.</w:t>
      </w:r>
    </w:p>
    <w:p>
      <w:pPr>
        <w:spacing w:after="0" w:line="13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Securities Redeemed in Part</w:t>
      </w:r>
      <w:r>
        <w:rPr>
          <w:rFonts w:ascii="Arial" w:cs="Arial" w:eastAsia="Arial" w:hAnsi="Arial"/>
          <w:sz w:val="19"/>
          <w:szCs w:val="19"/>
          <w:color w:val="auto"/>
        </w:rPr>
        <w:t>. Any Security that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SINKING FUNDS</w:t>
      </w:r>
    </w:p>
    <w:p>
      <w:pPr>
        <w:spacing w:after="0" w:line="23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Applicability of Sinking Fund</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87" w:lineRule="auto"/>
        <w:tabs>
          <w:tab w:leader="none" w:pos="207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Section 3.01 for Securities of such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such terms of a series of Securities shall conflict with any provision of this Article, the terms of such series shall govern.</w:t>
      </w:r>
    </w:p>
    <w:p>
      <w:pPr>
        <w:spacing w:after="0" w:line="170" w:lineRule="exact"/>
        <w:rPr>
          <w:rFonts w:ascii="Arial" w:cs="Arial" w:eastAsia="Arial" w:hAnsi="Arial"/>
          <w:sz w:val="19"/>
          <w:szCs w:val="19"/>
          <w:color w:val="auto"/>
        </w:rPr>
      </w:pPr>
    </w:p>
    <w:p>
      <w:pPr>
        <w:ind w:right="120" w:firstLine="1305"/>
        <w:spacing w:after="0" w:line="236" w:lineRule="auto"/>
        <w:tabs>
          <w:tab w:leader="none" w:pos="208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ind w:right="40" w:firstLine="648"/>
        <w:spacing w:after="0" w:line="272"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Mandatory Sinking Fund Obligation</w:t>
      </w:r>
      <w:r>
        <w:rPr>
          <w:rFonts w:ascii="Arial" w:cs="Arial" w:eastAsia="Arial" w:hAnsi="Arial"/>
          <w:sz w:val="19"/>
          <w:szCs w:val="19"/>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4.03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89"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Optional Redemption at Sinking Fund Redemption Price</w:t>
      </w:r>
      <w:r>
        <w:rPr>
          <w:rFonts w:ascii="Arial" w:cs="Arial" w:eastAsia="Arial" w:hAnsi="Arial"/>
          <w:sz w:val="21"/>
          <w:szCs w:val="21"/>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20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u w:val="single" w:color="auto"/>
          <w:color w:val="auto"/>
        </w:rPr>
        <w:t>Application of Sinking Fund Payment</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1" w:lineRule="auto"/>
        <w:tabs>
          <w:tab w:leader="none" w:pos="2076"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8" w:name="page79"/>
    <w:bookmarkEnd w:id="78"/>
    <w:p>
      <w:pPr>
        <w:ind w:right="40" w:firstLine="1305"/>
        <w:spacing w:after="0" w:line="241" w:lineRule="auto"/>
        <w:tabs>
          <w:tab w:leader="none" w:pos="2089" w:val="left"/>
        </w:tabs>
        <w:numPr>
          <w:ilvl w:val="0"/>
          <w:numId w:val="75"/>
        </w:numPr>
        <w:rPr>
          <w:rFonts w:ascii="Arial" w:cs="Arial" w:eastAsia="Arial" w:hAnsi="Arial"/>
          <w:sz w:val="22"/>
          <w:szCs w:val="22"/>
          <w:color w:val="auto"/>
        </w:rPr>
      </w:pPr>
      <w:r>
        <w:rPr>
          <w:rFonts w:ascii="Arial" w:cs="Arial" w:eastAsia="Arial" w:hAnsi="Arial"/>
          <w:sz w:val="22"/>
          <w:szCs w:val="22"/>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210" w:lineRule="exact"/>
        <w:rPr>
          <w:rFonts w:ascii="Arial" w:cs="Arial" w:eastAsia="Arial" w:hAnsi="Arial"/>
          <w:sz w:val="22"/>
          <w:szCs w:val="22"/>
          <w:color w:val="auto"/>
        </w:rPr>
      </w:pPr>
    </w:p>
    <w:p>
      <w:pPr>
        <w:ind w:firstLine="1305"/>
        <w:spacing w:after="0" w:line="273" w:lineRule="auto"/>
        <w:tabs>
          <w:tab w:leader="none" w:pos="2076"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ind w:left="3280"/>
        <w:spacing w:after="0"/>
        <w:rPr>
          <w:sz w:val="20"/>
          <w:szCs w:val="20"/>
          <w:color w:val="auto"/>
        </w:rPr>
      </w:pPr>
      <w:r>
        <w:rPr>
          <w:rFonts w:ascii="Arial" w:cs="Arial" w:eastAsia="Arial" w:hAnsi="Arial"/>
          <w:sz w:val="22"/>
          <w:szCs w:val="22"/>
          <w:b w:val="1"/>
          <w:bCs w:val="1"/>
          <w:u w:val="single" w:color="auto"/>
          <w:color w:val="auto"/>
        </w:rPr>
        <w:t>PARTICULAR COVENANTS OF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 hereby covenants and agrees as follows:</w:t>
      </w:r>
    </w:p>
    <w:p>
      <w:pPr>
        <w:spacing w:after="0" w:line="23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Payments of Securities</w:t>
      </w:r>
      <w:r>
        <w:rPr>
          <w:rFonts w:ascii="Arial" w:cs="Arial" w:eastAsia="Arial" w:hAnsi="Arial"/>
          <w:sz w:val="22"/>
          <w:szCs w:val="22"/>
          <w:color w:val="auto"/>
        </w:rPr>
        <w:t>. 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21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Paying Agent</w:t>
      </w:r>
      <w:r>
        <w:rPr>
          <w:rFonts w:ascii="Arial" w:cs="Arial" w:eastAsia="Arial" w:hAnsi="Arial"/>
          <w:sz w:val="19"/>
          <w:szCs w:val="19"/>
          <w:color w:val="auto"/>
        </w:rPr>
        <w:t>.</w:t>
      </w:r>
    </w:p>
    <w:p>
      <w:pPr>
        <w:spacing w:after="0" w:line="233" w:lineRule="exact"/>
        <w:rPr>
          <w:sz w:val="20"/>
          <w:szCs w:val="20"/>
          <w:color w:val="auto"/>
        </w:rPr>
      </w:pPr>
    </w:p>
    <w:p>
      <w:pPr>
        <w:ind w:right="220" w:firstLine="1305"/>
        <w:spacing w:after="0" w:line="275" w:lineRule="auto"/>
        <w:tabs>
          <w:tab w:leader="none" w:pos="2076"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Company will maintain in each Place of Payment for any series of Securities, if any,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79" w:name="page80"/>
    <w:bookmarkEnd w:id="79"/>
    <w:p>
      <w:pPr>
        <w:ind w:left="-20" w:firstLine="1305"/>
        <w:spacing w:after="0" w:line="275" w:lineRule="auto"/>
        <w:tabs>
          <w:tab w:leader="none" w:pos="2069"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86"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To Hold Payment in Trust</w:t>
      </w:r>
      <w:r>
        <w:rPr>
          <w:rFonts w:ascii="Arial" w:cs="Arial" w:eastAsia="Arial" w:hAnsi="Arial"/>
          <w:sz w:val="19"/>
          <w:szCs w:val="19"/>
          <w:color w:val="auto"/>
        </w:rPr>
        <w:t>.</w:t>
      </w:r>
    </w:p>
    <w:p>
      <w:pPr>
        <w:spacing w:after="0" w:line="233" w:lineRule="exact"/>
        <w:rPr>
          <w:sz w:val="20"/>
          <w:szCs w:val="20"/>
          <w:color w:val="auto"/>
        </w:rPr>
      </w:pPr>
    </w:p>
    <w:p>
      <w:pPr>
        <w:ind w:left="-20" w:firstLine="1305"/>
        <w:spacing w:after="0" w:line="275" w:lineRule="auto"/>
        <w:tabs>
          <w:tab w:leader="none" w:pos="2056"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85" w:lineRule="exact"/>
        <w:rPr>
          <w:rFonts w:ascii="Arial" w:cs="Arial" w:eastAsia="Arial" w:hAnsi="Arial"/>
          <w:sz w:val="19"/>
          <w:szCs w:val="19"/>
          <w:color w:val="auto"/>
        </w:rPr>
      </w:pPr>
    </w:p>
    <w:p>
      <w:pPr>
        <w:ind w:left="-20" w:firstLine="1305"/>
        <w:spacing w:after="0" w:line="247" w:lineRule="auto"/>
        <w:tabs>
          <w:tab w:leader="none" w:pos="2069" w:val="left"/>
        </w:tabs>
        <w:numPr>
          <w:ilvl w:val="0"/>
          <w:numId w:val="78"/>
        </w:numPr>
        <w:rPr>
          <w:rFonts w:ascii="Arial" w:cs="Arial" w:eastAsia="Arial" w:hAnsi="Arial"/>
          <w:sz w:val="21"/>
          <w:szCs w:val="21"/>
          <w:color w:val="auto"/>
        </w:rPr>
      </w:pPr>
      <w:r>
        <w:rPr>
          <w:rFonts w:ascii="Arial" w:cs="Arial" w:eastAsia="Arial" w:hAnsi="Arial"/>
          <w:sz w:val="21"/>
          <w:szCs w:val="21"/>
          <w:color w:val="auto"/>
        </w:rPr>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205" w:lineRule="exact"/>
        <w:rPr>
          <w:rFonts w:ascii="Arial" w:cs="Arial" w:eastAsia="Arial" w:hAnsi="Arial"/>
          <w:sz w:val="21"/>
          <w:szCs w:val="21"/>
          <w:color w:val="auto"/>
        </w:rPr>
      </w:pPr>
    </w:p>
    <w:p>
      <w:pPr>
        <w:jc w:val="both"/>
        <w:ind w:left="-20" w:right="140" w:firstLine="1305"/>
        <w:spacing w:after="0"/>
        <w:tabs>
          <w:tab w:leader="none" w:pos="2056"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213" w:lineRule="exact"/>
        <w:rPr>
          <w:rFonts w:ascii="Arial" w:cs="Arial" w:eastAsia="Arial" w:hAnsi="Arial"/>
          <w:sz w:val="22"/>
          <w:szCs w:val="22"/>
          <w:color w:val="auto"/>
        </w:rPr>
      </w:pPr>
    </w:p>
    <w:p>
      <w:pPr>
        <w:ind w:left="640" w:right="60" w:firstLine="1293"/>
        <w:spacing w:after="0"/>
        <w:tabs>
          <w:tab w:leader="none" w:pos="2681" w:val="left"/>
        </w:tabs>
        <w:numPr>
          <w:ilvl w:val="1"/>
          <w:numId w:val="78"/>
        </w:numPr>
        <w:rPr>
          <w:rFonts w:ascii="Arial" w:cs="Arial" w:eastAsia="Arial" w:hAnsi="Arial"/>
          <w:sz w:val="22"/>
          <w:szCs w:val="22"/>
          <w:color w:val="auto"/>
        </w:rPr>
      </w:pPr>
      <w:r>
        <w:rPr>
          <w:rFonts w:ascii="Arial" w:cs="Arial" w:eastAsia="Arial" w:hAnsi="Arial"/>
          <w:sz w:val="22"/>
          <w:szCs w:val="22"/>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bookmarkStart w:id="80" w:name="page81"/>
    <w:bookmarkEnd w:id="80"/>
    <w:p>
      <w:pPr>
        <w:ind w:left="660" w:firstLine="1293"/>
        <w:spacing w:after="0" w:line="241" w:lineRule="auto"/>
        <w:tabs>
          <w:tab w:leader="none" w:pos="2707" w:val="left"/>
        </w:tabs>
        <w:numPr>
          <w:ilvl w:val="1"/>
          <w:numId w:val="79"/>
        </w:numPr>
        <w:rPr>
          <w:rFonts w:ascii="Arial" w:cs="Arial" w:eastAsia="Arial" w:hAnsi="Arial"/>
          <w:sz w:val="22"/>
          <w:szCs w:val="22"/>
          <w:color w:val="auto"/>
        </w:rPr>
      </w:pPr>
      <w:r>
        <w:rPr>
          <w:rFonts w:ascii="Arial" w:cs="Arial" w:eastAsia="Arial" w:hAnsi="Arial"/>
          <w:sz w:val="22"/>
          <w:szCs w:val="22"/>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210" w:lineRule="exact"/>
        <w:rPr>
          <w:rFonts w:ascii="Arial" w:cs="Arial" w:eastAsia="Arial" w:hAnsi="Arial"/>
          <w:sz w:val="22"/>
          <w:szCs w:val="22"/>
          <w:color w:val="auto"/>
        </w:rPr>
      </w:pPr>
    </w:p>
    <w:p>
      <w:pPr>
        <w:ind w:left="660" w:right="80" w:firstLine="1293"/>
        <w:spacing w:after="0" w:line="251" w:lineRule="auto"/>
        <w:tabs>
          <w:tab w:leader="none" w:pos="2713" w:val="left"/>
        </w:tabs>
        <w:numPr>
          <w:ilvl w:val="1"/>
          <w:numId w:val="79"/>
        </w:numPr>
        <w:rPr>
          <w:rFonts w:ascii="Arial" w:cs="Arial" w:eastAsia="Arial" w:hAnsi="Arial"/>
          <w:sz w:val="22"/>
          <w:szCs w:val="22"/>
          <w:color w:val="auto"/>
        </w:rPr>
      </w:pPr>
      <w:r>
        <w:rPr>
          <w:rFonts w:ascii="Arial" w:cs="Arial" w:eastAsia="Arial" w:hAnsi="Arial"/>
          <w:sz w:val="22"/>
          <w:szCs w:val="22"/>
          <w:color w:val="auto"/>
        </w:rPr>
        <w:t>at any time during the continuance of any such Default, upon the written request of the Trustee, pay to the Trustee all sums so held in trust by such Paying Agent.</w:t>
      </w:r>
    </w:p>
    <w:p>
      <w:pPr>
        <w:spacing w:after="0" w:line="200" w:lineRule="exact"/>
        <w:rPr>
          <w:rFonts w:ascii="Arial" w:cs="Arial" w:eastAsia="Arial" w:hAnsi="Arial"/>
          <w:sz w:val="22"/>
          <w:szCs w:val="22"/>
          <w:color w:val="auto"/>
        </w:rPr>
      </w:pPr>
    </w:p>
    <w:p>
      <w:pPr>
        <w:ind w:right="80" w:firstLine="1305"/>
        <w:spacing w:after="0" w:line="236" w:lineRule="auto"/>
        <w:tabs>
          <w:tab w:leader="none" w:pos="2089"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214" w:lineRule="exact"/>
        <w:rPr>
          <w:rFonts w:ascii="Arial" w:cs="Arial" w:eastAsia="Arial" w:hAnsi="Arial"/>
          <w:sz w:val="22"/>
          <w:szCs w:val="22"/>
          <w:color w:val="auto"/>
        </w:rPr>
      </w:pPr>
    </w:p>
    <w:p>
      <w:pPr>
        <w:ind w:firstLine="1305"/>
        <w:spacing w:after="0" w:line="272" w:lineRule="auto"/>
        <w:tabs>
          <w:tab w:leader="none" w:pos="2076"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89"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Merger, Consolidation and Sale of Assets</w:t>
      </w:r>
      <w:r>
        <w:rPr>
          <w:rFonts w:ascii="Arial" w:cs="Arial" w:eastAsia="Arial" w:hAnsi="Arial"/>
          <w:sz w:val="22"/>
          <w:szCs w:val="22"/>
          <w:color w:val="auto"/>
        </w:rPr>
        <w:t>. Except as otherwise provided as contemplated by Section 3.01 with respect to any series of Securities:</w:t>
      </w:r>
    </w:p>
    <w:p>
      <w:pPr>
        <w:spacing w:after="0" w:line="200" w:lineRule="exact"/>
        <w:rPr>
          <w:sz w:val="20"/>
          <w:szCs w:val="20"/>
          <w:color w:val="auto"/>
        </w:rPr>
      </w:pPr>
    </w:p>
    <w:p>
      <w:pPr>
        <w:ind w:right="140" w:firstLine="1305"/>
        <w:spacing w:after="0" w:line="245" w:lineRule="auto"/>
        <w:tabs>
          <w:tab w:leader="none" w:pos="2076"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expressly assume, by indenture supplemental hereto, executed and delivered by such entity prior to or simultaneously with such consolidation, merger, sale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 (ii) immediately after such consolidation, merger, sale, lease or purchase the Company or the successor, transferee or lessee entity (if other than the Company) would not be in Default in the performance of any covenant or condition of this Indenture.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1" w:name="page82"/>
    <w:bookmarkEnd w:id="81"/>
    <w:p>
      <w:pPr>
        <w:ind w:firstLine="1305"/>
        <w:spacing w:after="0" w:line="272" w:lineRule="auto"/>
        <w:tabs>
          <w:tab w:leader="none" w:pos="2089" w:val="left"/>
        </w:tabs>
        <w:numPr>
          <w:ilvl w:val="0"/>
          <w:numId w:val="82"/>
        </w:numPr>
        <w:rPr>
          <w:rFonts w:ascii="Arial" w:cs="Arial" w:eastAsia="Arial" w:hAnsi="Arial"/>
          <w:sz w:val="19"/>
          <w:szCs w:val="19"/>
          <w:color w:val="auto"/>
        </w:rPr>
      </w:pPr>
      <w:r>
        <w:rPr>
          <w:rFonts w:ascii="Arial" w:cs="Arial" w:eastAsia="Arial" w:hAnsi="Arial"/>
          <w:sz w:val="19"/>
          <w:szCs w:val="19"/>
          <w:color w:val="auto"/>
        </w:rPr>
        <w:t>Upon any consolidation with or merger into any other entity, or any sale, conveyance or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200" w:lineRule="exact"/>
        <w:rPr>
          <w:sz w:val="20"/>
          <w:szCs w:val="20"/>
          <w:color w:val="auto"/>
        </w:rPr>
      </w:pPr>
    </w:p>
    <w:p>
      <w:pPr>
        <w:spacing w:after="0" w:line="232"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 Except as otherwise provided as contemplated by Section 3.01 with respect to any series of Securities, the Company shall furnish to the Trustee annually, within 120 days after the end of each fiscal year, a brief certificate from the principal executive officer, principal financial officer or principal accounting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pacing w:after="0" w:line="205"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Conditional Waiver by Holders of Securities</w:t>
      </w:r>
      <w:r>
        <w:rPr>
          <w:rFonts w:ascii="Arial" w:cs="Arial" w:eastAsia="Arial" w:hAnsi="Arial"/>
          <w:sz w:val="19"/>
          <w:szCs w:val="19"/>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2" w:name="page83"/>
    <w:bookmarkEnd w:id="82"/>
    <w:p>
      <w:pPr>
        <w:jc w:val="both"/>
        <w:ind w:right="140" w:firstLine="648"/>
        <w:spacing w:after="0" w:line="287"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Statement by Officers as to Default</w:t>
      </w:r>
      <w:r>
        <w:rPr>
          <w:rFonts w:ascii="Arial" w:cs="Arial" w:eastAsia="Arial" w:hAnsi="Arial"/>
          <w:sz w:val="19"/>
          <w:szCs w:val="19"/>
          <w:color w:val="auto"/>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REMEDIES OF TRUSTEE AND SECURITYHOLDERS</w:t>
      </w:r>
    </w:p>
    <w:p>
      <w:pPr>
        <w:spacing w:after="0" w:line="239" w:lineRule="exact"/>
        <w:rPr>
          <w:sz w:val="20"/>
          <w:szCs w:val="20"/>
          <w:color w:val="auto"/>
        </w:rPr>
      </w:pPr>
    </w:p>
    <w:p>
      <w:pPr>
        <w:ind w:right="320" w:firstLine="648"/>
        <w:spacing w:after="0" w:line="238"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spacing w:after="0" w:line="212" w:lineRule="exact"/>
        <w:rPr>
          <w:sz w:val="20"/>
          <w:szCs w:val="20"/>
          <w:color w:val="auto"/>
        </w:rPr>
      </w:pPr>
    </w:p>
    <w:p>
      <w:pPr>
        <w:ind w:right="20" w:firstLine="1305"/>
        <w:spacing w:after="0" w:line="251" w:lineRule="auto"/>
        <w:tabs>
          <w:tab w:leader="none" w:pos="20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failure of the Company to pay any installment of interest on any Security of such series when and as the same shall become payable, which failure shall have continued unremedied for a period of 30 days;</w:t>
      </w:r>
    </w:p>
    <w:p>
      <w:pPr>
        <w:spacing w:after="0" w:line="200" w:lineRule="exact"/>
        <w:rPr>
          <w:rFonts w:ascii="Arial" w:cs="Arial" w:eastAsia="Arial" w:hAnsi="Arial"/>
          <w:sz w:val="22"/>
          <w:szCs w:val="22"/>
          <w:color w:val="auto"/>
        </w:rPr>
      </w:pPr>
    </w:p>
    <w:p>
      <w:pPr>
        <w:ind w:right="320" w:firstLine="1305"/>
        <w:spacing w:after="0"/>
        <w:tabs>
          <w:tab w:leader="none" w:pos="2089"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spacing w:after="0" w:line="213" w:lineRule="exact"/>
        <w:rPr>
          <w:rFonts w:ascii="Arial" w:cs="Arial" w:eastAsia="Arial" w:hAnsi="Arial"/>
          <w:sz w:val="22"/>
          <w:szCs w:val="22"/>
          <w:color w:val="auto"/>
        </w:rPr>
      </w:pPr>
    </w:p>
    <w:p>
      <w:pPr>
        <w:ind w:right="320" w:firstLine="1305"/>
        <w:spacing w:after="0" w:line="328" w:lineRule="auto"/>
        <w:tabs>
          <w:tab w:leader="none" w:pos="2076"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failure of the Company to pay a sinking fund installment, if any, when and as the same shall become payable by the terms of a Security of such series, which failure shall have continued unremedied for a period of 30 days;</w:t>
      </w:r>
    </w:p>
    <w:p>
      <w:pPr>
        <w:spacing w:after="0" w:line="132" w:lineRule="exact"/>
        <w:rPr>
          <w:rFonts w:ascii="Arial" w:cs="Arial" w:eastAsia="Arial" w:hAnsi="Arial"/>
          <w:sz w:val="19"/>
          <w:szCs w:val="19"/>
          <w:color w:val="auto"/>
        </w:rPr>
      </w:pPr>
    </w:p>
    <w:p>
      <w:pPr>
        <w:ind w:firstLine="1305"/>
        <w:spacing w:after="0" w:line="274" w:lineRule="auto"/>
        <w:tabs>
          <w:tab w:leader="none" w:pos="2089"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failure of the Company, subject to the provisions of Section 6.06, to perform any covenants or agreements contained in this Indenture (including any indenture supplemental hereto pursuant to which the Securities of such series were issued as contemplated by Section 3.01) (other than a covenant or agreement which has been expressly included in this Indenture solely for the benefit of a series of Securities other than that series and other than a covenant or agreement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185" w:lineRule="exact"/>
        <w:rPr>
          <w:rFonts w:ascii="Arial" w:cs="Arial" w:eastAsia="Arial" w:hAnsi="Arial"/>
          <w:sz w:val="19"/>
          <w:szCs w:val="19"/>
          <w:color w:val="auto"/>
        </w:rPr>
      </w:pPr>
    </w:p>
    <w:p>
      <w:pPr>
        <w:ind w:right="80" w:firstLine="1305"/>
        <w:spacing w:after="0" w:line="235" w:lineRule="auto"/>
        <w:tabs>
          <w:tab w:leader="none" w:pos="20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3" w:name="page84"/>
    <w:bookmarkEnd w:id="83"/>
    <w:p>
      <w:pPr>
        <w:ind w:firstLine="1305"/>
        <w:spacing w:after="0" w:line="247" w:lineRule="auto"/>
        <w:tabs>
          <w:tab w:leader="none" w:pos="2053"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205" w:lineRule="exact"/>
        <w:rPr>
          <w:rFonts w:ascii="Arial" w:cs="Arial" w:eastAsia="Arial" w:hAnsi="Arial"/>
          <w:sz w:val="21"/>
          <w:szCs w:val="21"/>
          <w:color w:val="auto"/>
        </w:rPr>
      </w:pPr>
    </w:p>
    <w:p>
      <w:pPr>
        <w:ind w:left="2100" w:hanging="795"/>
        <w:spacing w:after="0"/>
        <w:tabs>
          <w:tab w:leader="none" w:pos="2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occurrence of any other Event of Default with respect to Securities of such series as provided in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3.01;</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provided, however, that no event described in clause (d) or (other than with respect to a payment default) (g) above shall constitute an Event of Default hereunder until a Responsible Officer of the Trustee has actual knowledge thereof or the Holders of 25% or more in aggregate principal amount of the Securities of such series the Outstanding, notify the Company (and the Trustee in case of notice by the Holders) of the Default, specifying the Default, requiring the Company to remedy the same and stating that such notice is a “Notice of Default” hereunder.</w:t>
      </w:r>
    </w:p>
    <w:p>
      <w:pPr>
        <w:spacing w:after="0" w:line="21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Notwithstanding the foregoing provisions of this Section 7.01, to the extent elected by the Company, the sole remedy for an Event of Default relating to the failure to comply with the reporting obligations specified in Section 10.02, and for any failure to comply with the requirements of § 314(a)(1) of the TIA, shall for the first 60 days after the occurrence of such an Event of Default consist exclusively of the right to receive additional interest on the Securities at an annual rate equal to 0.25% of the principal amount of the Securities. The additional interest will accrue on all outstanding Securities from and including the date on which an Event of Default relating to a failure to comply with the reporting obligations specified in Section 10.02 first occurs to but not including the 60th day thereafter (or such earlier date on which the Event of Default relating to the reporting obligations shall have been cured or waived). On such 60th day (or earlier, if the Event of Default relating to the reporting obligations is cured or waived prior to such 60th day), such additional interest will cease to accrue and, if the Event of Default relating to the reporting obligations has not been cured or waived prior to such 60th day, the Securities shall be subject to an acceleration of maturity as provided in Section 7.02(a).</w:t>
      </w:r>
    </w:p>
    <w:p>
      <w:pPr>
        <w:spacing w:after="0" w:line="189"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 xml:space="preserve">The provisions of the immediately preceding paragraph will not affect the rights of Holders in the event of the occurrence of any other Event of Default;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no event will the rate of additional interest accruing pursuant to the immediately preceding paragraph at any time exceed 1.00% per annum, in the aggregate. In the event the Company does not elect to pay additional interest upon an Event of Default in accordance with the immediately preceding paragraph, the Securities shall be subject to an acceleration of maturity as provided in Section 7.02(a). If the Company elects to pay additional interest as the sole remedy for an Event of Default relating to the failure to comply with the reporting obligations specified in Section 10.02, and for any failure to comply with the requirements of § 314(a)(1) of the TIA in accordance with the immediately preceding paragraph, the Company shall notify all Holders and the Trustee and Paying Agent of such election on or before the close of business on the date on which such Event of Default first occurs.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spacing w:after="0" w:line="273" w:lineRule="auto"/>
        <w:rPr>
          <w:sz w:val="20"/>
          <w:szCs w:val="20"/>
          <w:color w:val="auto"/>
        </w:rPr>
      </w:pPr>
      <w:r>
        <w:rPr>
          <w:rFonts w:ascii="Arial" w:cs="Arial" w:eastAsia="Arial" w:hAnsi="Arial"/>
          <w:sz w:val="19"/>
          <w:szCs w:val="19"/>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18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Acceleration; Rescission and Annulment</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1" w:lineRule="auto"/>
        <w:tabs>
          <w:tab w:leader="none" w:pos="2076" w:val="left"/>
        </w:tabs>
        <w:numPr>
          <w:ilvl w:val="0"/>
          <w:numId w:val="85"/>
        </w:numPr>
        <w:rPr>
          <w:rFonts w:ascii="Arial" w:cs="Arial" w:eastAsia="Arial" w:hAnsi="Arial"/>
          <w:sz w:val="19"/>
          <w:szCs w:val="19"/>
          <w:color w:val="auto"/>
        </w:rPr>
      </w:pPr>
      <w:r>
        <w:rPr>
          <w:rFonts w:ascii="Arial" w:cs="Arial" w:eastAsia="Arial" w:hAnsi="Arial"/>
          <w:sz w:val="19"/>
          <w:szCs w:val="19"/>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Section 7.01 and except as otherwise provided pursuant to Section 3.01), all obligations of the Company in respect of the payment of principal of and interest on the Securities of such series shall terminate.</w:t>
      </w:r>
    </w:p>
    <w:p>
      <w:pPr>
        <w:spacing w:after="0" w:line="188" w:lineRule="exact"/>
        <w:rPr>
          <w:rFonts w:ascii="Arial" w:cs="Arial" w:eastAsia="Arial" w:hAnsi="Arial"/>
          <w:sz w:val="19"/>
          <w:szCs w:val="19"/>
          <w:color w:val="auto"/>
        </w:rPr>
      </w:pPr>
    </w:p>
    <w:p>
      <w:pPr>
        <w:ind w:right="40" w:firstLine="1305"/>
        <w:spacing w:after="0" w:line="248" w:lineRule="auto"/>
        <w:tabs>
          <w:tab w:leader="none" w:pos="2089"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annual such acceleration if:</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5" w:name="page86"/>
    <w:bookmarkEnd w:id="85"/>
    <w:p>
      <w:pPr>
        <w:ind w:left="640" w:right="140" w:firstLine="1293"/>
        <w:spacing w:after="0" w:line="241" w:lineRule="auto"/>
        <w:tabs>
          <w:tab w:leader="none" w:pos="26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Company has paid or deposited with the Trustee or Paying Agent a sum in the Currency in which such Securities are denominated (subject to Section 7.01 and except as otherwise provided pursuant to Section 3.01) sufficient to pay:</w:t>
      </w:r>
    </w:p>
    <w:p>
      <w:pPr>
        <w:spacing w:after="0" w:line="211" w:lineRule="exact"/>
        <w:rPr>
          <w:sz w:val="20"/>
          <w:szCs w:val="20"/>
          <w:color w:val="auto"/>
        </w:rPr>
      </w:pPr>
    </w:p>
    <w:p>
      <w:pPr>
        <w:ind w:left="640" w:right="760" w:firstLine="1941"/>
        <w:spacing w:after="0" w:line="328" w:lineRule="auto"/>
        <w:tabs>
          <w:tab w:leader="none" w:pos="3425" w:val="left"/>
        </w:tabs>
        <w:numPr>
          <w:ilvl w:val="2"/>
          <w:numId w:val="87"/>
        </w:numPr>
        <w:rPr>
          <w:rFonts w:ascii="Arial" w:cs="Arial" w:eastAsia="Arial" w:hAnsi="Arial"/>
          <w:sz w:val="19"/>
          <w:szCs w:val="19"/>
          <w:color w:val="auto"/>
        </w:rPr>
      </w:pPr>
      <w:r>
        <w:rPr>
          <w:rFonts w:ascii="Arial" w:cs="Arial" w:eastAsia="Arial" w:hAnsi="Arial"/>
          <w:sz w:val="19"/>
          <w:szCs w:val="19"/>
          <w:color w:val="auto"/>
        </w:rPr>
        <w:t>all amounts owing the Trustee and any predecessor trustee hereunder under Section 11.01(a)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all sums payable under this clause (A) shall be paid in U.S. Dollars);</w:t>
      </w:r>
    </w:p>
    <w:p>
      <w:pPr>
        <w:spacing w:after="0" w:line="132" w:lineRule="exact"/>
        <w:rPr>
          <w:rFonts w:ascii="Arial" w:cs="Arial" w:eastAsia="Arial" w:hAnsi="Arial"/>
          <w:sz w:val="19"/>
          <w:szCs w:val="19"/>
          <w:color w:val="auto"/>
        </w:rPr>
      </w:pPr>
    </w:p>
    <w:p>
      <w:pPr>
        <w:ind w:left="640" w:right="360" w:firstLine="1941"/>
        <w:spacing w:after="0"/>
        <w:tabs>
          <w:tab w:leader="none" w:pos="3413" w:val="left"/>
        </w:tabs>
        <w:numPr>
          <w:ilvl w:val="2"/>
          <w:numId w:val="87"/>
        </w:numPr>
        <w:rPr>
          <w:rFonts w:ascii="Arial" w:cs="Arial" w:eastAsia="Arial" w:hAnsi="Arial"/>
          <w:sz w:val="22"/>
          <w:szCs w:val="22"/>
          <w:color w:val="auto"/>
        </w:rPr>
      </w:pPr>
      <w:r>
        <w:rPr>
          <w:rFonts w:ascii="Arial" w:cs="Arial" w:eastAsia="Arial" w:hAnsi="Arial"/>
          <w:sz w:val="22"/>
          <w:szCs w:val="22"/>
          <w:color w:val="auto"/>
        </w:rPr>
        <w:t>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213" w:lineRule="exact"/>
        <w:rPr>
          <w:rFonts w:ascii="Arial" w:cs="Arial" w:eastAsia="Arial" w:hAnsi="Arial"/>
          <w:sz w:val="22"/>
          <w:szCs w:val="22"/>
          <w:color w:val="auto"/>
        </w:rPr>
      </w:pPr>
    </w:p>
    <w:p>
      <w:pPr>
        <w:jc w:val="both"/>
        <w:ind w:left="640" w:right="300" w:firstLine="1941"/>
        <w:spacing w:after="0" w:line="297" w:lineRule="auto"/>
        <w:tabs>
          <w:tab w:leader="none" w:pos="3413" w:val="left"/>
        </w:tabs>
        <w:numPr>
          <w:ilvl w:val="2"/>
          <w:numId w:val="87"/>
        </w:numPr>
        <w:rPr>
          <w:rFonts w:ascii="Arial" w:cs="Arial" w:eastAsia="Arial" w:hAnsi="Arial"/>
          <w:sz w:val="19"/>
          <w:szCs w:val="19"/>
          <w:color w:val="auto"/>
        </w:rPr>
      </w:pPr>
      <w:r>
        <w:rPr>
          <w:rFonts w:ascii="Arial" w:cs="Arial" w:eastAsia="Arial" w:hAnsi="Arial"/>
          <w:sz w:val="19"/>
          <w:szCs w:val="19"/>
          <w:color w:val="auto"/>
        </w:rPr>
        <w:t>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spacing w:after="0" w:line="161" w:lineRule="exact"/>
        <w:rPr>
          <w:rFonts w:ascii="Arial" w:cs="Arial" w:eastAsia="Arial" w:hAnsi="Arial"/>
          <w:sz w:val="19"/>
          <w:szCs w:val="19"/>
          <w:color w:val="auto"/>
        </w:rPr>
      </w:pPr>
    </w:p>
    <w:p>
      <w:pPr>
        <w:jc w:val="both"/>
        <w:ind w:left="640" w:right="40" w:firstLine="1293"/>
        <w:spacing w:after="0"/>
        <w:tabs>
          <w:tab w:leader="none" w:pos="2687" w:val="left"/>
        </w:tabs>
        <w:numPr>
          <w:ilvl w:val="1"/>
          <w:numId w:val="88"/>
        </w:numPr>
        <w:rPr>
          <w:rFonts w:ascii="Arial" w:cs="Arial" w:eastAsia="Arial" w:hAnsi="Arial"/>
          <w:sz w:val="22"/>
          <w:szCs w:val="22"/>
          <w:color w:val="auto"/>
        </w:rPr>
      </w:pPr>
      <w:r>
        <w:rPr>
          <w:rFonts w:ascii="Arial" w:cs="Arial" w:eastAsia="Arial" w:hAnsi="Arial"/>
          <w:sz w:val="22"/>
          <w:szCs w:val="22"/>
          <w:color w:val="auto"/>
        </w:rPr>
        <w:t>every other Default and Event of Default with respect to Securities of that series, other than the non-payment of the principal of Securities of that series which have become due solely by such acceleration, have been cured or waived as provided in Section 7.06.</w:t>
      </w:r>
    </w:p>
    <w:p>
      <w:pPr>
        <w:spacing w:after="0" w:line="213" w:lineRule="exact"/>
        <w:rPr>
          <w:rFonts w:ascii="Arial" w:cs="Arial" w:eastAsia="Arial" w:hAnsi="Arial"/>
          <w:sz w:val="22"/>
          <w:szCs w:val="22"/>
          <w:color w:val="auto"/>
        </w:rPr>
      </w:pPr>
    </w:p>
    <w:p>
      <w:pPr>
        <w:ind w:left="2060" w:hanging="775"/>
        <w:spacing w:after="0"/>
        <w:tabs>
          <w:tab w:leader="none" w:pos="20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 such rescission shall affect any subsequent default or impair any right consequent thereon.</w:t>
      </w:r>
    </w:p>
    <w:p>
      <w:pPr>
        <w:spacing w:after="0" w:line="233" w:lineRule="exact"/>
        <w:rPr>
          <w:rFonts w:ascii="Arial" w:cs="Arial" w:eastAsia="Arial" w:hAnsi="Arial"/>
          <w:sz w:val="22"/>
          <w:szCs w:val="22"/>
          <w:color w:val="auto"/>
        </w:rPr>
      </w:pPr>
    </w:p>
    <w:p>
      <w:pPr>
        <w:ind w:left="-20" w:firstLine="1305"/>
        <w:spacing w:after="0" w:line="234" w:lineRule="auto"/>
        <w:tabs>
          <w:tab w:leader="none" w:pos="2069" w:val="left"/>
        </w:tabs>
        <w:numPr>
          <w:ilvl w:val="0"/>
          <w:numId w:val="89"/>
        </w:numPr>
        <w:rPr>
          <w:rFonts w:ascii="Arial" w:cs="Arial" w:eastAsia="Arial" w:hAnsi="Arial"/>
          <w:sz w:val="22"/>
          <w:szCs w:val="22"/>
          <w:color w:val="auto"/>
        </w:rPr>
      </w:pPr>
      <w:r>
        <w:rPr>
          <w:rFonts w:ascii="Arial" w:cs="Arial" w:eastAsia="Arial" w:hAnsi="Arial"/>
          <w:sz w:val="22"/>
          <w:szCs w:val="22"/>
          <w:color w:val="auto"/>
        </w:rPr>
        <w:t>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86" w:name="page87"/>
    <w:bookmarkEnd w:id="86"/>
    <w:p>
      <w:pPr>
        <w:ind w:firstLine="648"/>
        <w:spacing w:after="0" w:line="245"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u w:val="single" w:color="auto"/>
          <w:color w:val="auto"/>
        </w:rPr>
        <w:t>Other Remedies</w:t>
      </w:r>
      <w:r>
        <w:rPr>
          <w:rFonts w:ascii="Arial" w:cs="Arial" w:eastAsia="Arial" w:hAnsi="Arial"/>
          <w:sz w:val="21"/>
          <w:szCs w:val="21"/>
          <w:color w:val="auto"/>
        </w:rPr>
        <w:t>. If the Company shall fail for a period of 30 days to pay any installment of interest on the Securities of any series or shall fail to pay the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u w:val="single" w:color="auto"/>
          <w:color w:val="auto"/>
        </w:rPr>
        <w:t>Trustee as Attorney-in-Fact</w:t>
      </w:r>
      <w:r>
        <w:rPr>
          <w:rFonts w:ascii="Arial" w:cs="Arial" w:eastAsia="Arial" w:hAnsi="Arial"/>
          <w:sz w:val="19"/>
          <w:szCs w:val="19"/>
          <w:color w:val="auto"/>
        </w:rPr>
        <w:t xml:space="preserve">.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7" w:name="page88"/>
    <w:bookmarkEnd w:id="87"/>
    <w:p>
      <w:pPr>
        <w:ind w:firstLine="648"/>
        <w:spacing w:after="0" w:line="236"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Priorities</w:t>
      </w:r>
      <w:r>
        <w:rPr>
          <w:rFonts w:ascii="Arial" w:cs="Arial" w:eastAsia="Arial" w:hAnsi="Arial"/>
          <w:sz w:val="22"/>
          <w:szCs w:val="22"/>
          <w:color w:val="auto"/>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First: To the payment of all amounts due to the Trustee and any predecessor trustee hereunder under Section 11.01(a).</w:t>
      </w:r>
    </w:p>
    <w:p>
      <w:pPr>
        <w:spacing w:after="0" w:line="268" w:lineRule="exact"/>
        <w:rPr>
          <w:sz w:val="20"/>
          <w:szCs w:val="20"/>
          <w:color w:val="auto"/>
        </w:rPr>
      </w:pPr>
    </w:p>
    <w:p>
      <w:pPr>
        <w:ind w:left="660" w:right="80"/>
        <w:spacing w:after="0" w:line="236" w:lineRule="auto"/>
        <w:rPr>
          <w:sz w:val="20"/>
          <w:szCs w:val="20"/>
          <w:color w:val="auto"/>
        </w:rPr>
      </w:pPr>
      <w:r>
        <w:rPr>
          <w:rFonts w:ascii="Arial" w:cs="Arial" w:eastAsia="Arial" w:hAnsi="Arial"/>
          <w:sz w:val="22"/>
          <w:szCs w:val="22"/>
          <w:color w:val="auto"/>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Any surplus then remaining shall be paid to the Company or as directed by a court of competent jurisdiction.</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u w:val="single" w:color="auto"/>
          <w:color w:val="auto"/>
        </w:rPr>
        <w:t>Control by Securityholders; Waiver of Past Defaults</w:t>
      </w:r>
      <w:r>
        <w:rPr>
          <w:rFonts w:ascii="Arial" w:cs="Arial" w:eastAsia="Arial" w:hAnsi="Arial"/>
          <w:sz w:val="19"/>
          <w:szCs w:val="19"/>
          <w:color w:val="auto"/>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8" w:name="page89"/>
    <w:bookmarkEnd w:id="88"/>
    <w:p>
      <w:pPr>
        <w:ind w:right="60" w:firstLine="648"/>
        <w:spacing w:after="0" w:line="286"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Limitation on Suits</w:t>
      </w:r>
      <w:r>
        <w:rPr>
          <w:rFonts w:ascii="Arial" w:cs="Arial" w:eastAsia="Arial" w:hAnsi="Arial"/>
          <w:sz w:val="16"/>
          <w:szCs w:val="16"/>
          <w:color w:val="auto"/>
        </w:rPr>
        <w:t xml:space="preserve">.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xml:space="preserve">.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22"/>
          <w:szCs w:val="22"/>
          <w:b w:val="1"/>
          <w:bCs w:val="1"/>
          <w:color w:val="auto"/>
        </w:rPr>
        <w:t>ARTICLE VIII</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CONCERNING THE SECURITYHOLDERS</w:t>
      </w:r>
    </w:p>
    <w:p>
      <w:pPr>
        <w:spacing w:after="0" w:line="239"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Evidence of Action of Securityholders</w:t>
      </w:r>
      <w:r>
        <w:rPr>
          <w:rFonts w:ascii="Arial" w:cs="Arial" w:eastAsia="Arial" w:hAnsi="Arial"/>
          <w:sz w:val="21"/>
          <w:szCs w:val="21"/>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217"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Proof of Execution or Holding of Securities</w:t>
      </w:r>
      <w:r>
        <w:rPr>
          <w:rFonts w:ascii="Arial" w:cs="Arial" w:eastAsia="Arial" w:hAnsi="Arial"/>
          <w:sz w:val="22"/>
          <w:szCs w:val="22"/>
          <w:color w:val="auto"/>
        </w:rPr>
        <w:t>. Proof of the execution of any instrument by a Securityholder or his, her or its agent or proxy and proof of the holding by any Person of any of the Securities shall be sufficient if made in the following manner:</w:t>
      </w:r>
    </w:p>
    <w:p>
      <w:pPr>
        <w:spacing w:after="0" w:line="213" w:lineRule="exact"/>
        <w:rPr>
          <w:sz w:val="20"/>
          <w:szCs w:val="20"/>
          <w:color w:val="auto"/>
        </w:rPr>
      </w:pPr>
    </w:p>
    <w:p>
      <w:pPr>
        <w:ind w:right="40" w:firstLine="1305"/>
        <w:spacing w:after="0" w:line="248" w:lineRule="auto"/>
        <w:tabs>
          <w:tab w:leader="none" w:pos="2073"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204" w:lineRule="exact"/>
        <w:rPr>
          <w:rFonts w:ascii="Arial" w:cs="Arial" w:eastAsia="Arial" w:hAnsi="Arial"/>
          <w:sz w:val="21"/>
          <w:szCs w:val="21"/>
          <w:color w:val="auto"/>
        </w:rPr>
      </w:pPr>
    </w:p>
    <w:p>
      <w:pPr>
        <w:ind w:right="700" w:firstLine="1305"/>
        <w:spacing w:after="0" w:line="251" w:lineRule="auto"/>
        <w:tabs>
          <w:tab w:leader="none" w:pos="2085"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ownership of Securities of any series shall be proved by the Register of such Securities or by a certificate of the Registrar for such series.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90" w:name="page91"/>
    <w:bookmarkEnd w:id="90"/>
    <w:p>
      <w:pPr>
        <w:ind w:left="2080" w:hanging="775"/>
        <w:spacing w:after="0"/>
        <w:tabs>
          <w:tab w:leader="none" w:pos="20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record of any Holders’ meeting shall be proved in the manner provided in Section 9.06.</w:t>
      </w:r>
    </w:p>
    <w:p>
      <w:pPr>
        <w:spacing w:after="0" w:line="233" w:lineRule="exact"/>
        <w:rPr>
          <w:rFonts w:ascii="Arial" w:cs="Arial" w:eastAsia="Arial" w:hAnsi="Arial"/>
          <w:sz w:val="22"/>
          <w:szCs w:val="22"/>
          <w:color w:val="auto"/>
        </w:rPr>
      </w:pPr>
    </w:p>
    <w:p>
      <w:pPr>
        <w:ind w:right="40" w:firstLine="1305"/>
        <w:spacing w:after="0" w:line="251" w:lineRule="auto"/>
        <w:tabs>
          <w:tab w:leader="none" w:pos="2085"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Trustee may require such additional proof of any matter referred to in this Section 8.02 as it shall deem appropriate or necessary, so long as the request is a reasonable one.</w:t>
      </w:r>
    </w:p>
    <w:p>
      <w:pPr>
        <w:spacing w:after="0" w:line="200" w:lineRule="exact"/>
        <w:rPr>
          <w:rFonts w:ascii="Arial" w:cs="Arial" w:eastAsia="Arial" w:hAnsi="Arial"/>
          <w:sz w:val="22"/>
          <w:szCs w:val="22"/>
          <w:color w:val="auto"/>
        </w:rPr>
      </w:pPr>
    </w:p>
    <w:p>
      <w:pPr>
        <w:ind w:right="200" w:firstLine="1305"/>
        <w:spacing w:after="0" w:line="277" w:lineRule="auto"/>
        <w:tabs>
          <w:tab w:leader="none" w:pos="2077"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8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233" w:lineRule="exact"/>
        <w:rPr>
          <w:sz w:val="20"/>
          <w:szCs w:val="20"/>
          <w:color w:val="auto"/>
        </w:rPr>
      </w:pPr>
    </w:p>
    <w:p>
      <w:pPr>
        <w:ind w:right="100" w:firstLine="1305"/>
        <w:spacing w:after="0" w:line="279" w:lineRule="auto"/>
        <w:tabs>
          <w:tab w:leader="none" w:pos="2073"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Company, the Trustee and any agent of the Company or the Trustee may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agent of the Company or the Trustee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77" w:lineRule="exact"/>
        <w:rPr>
          <w:rFonts w:ascii="Arial" w:cs="Arial" w:eastAsia="Arial" w:hAnsi="Arial"/>
          <w:sz w:val="19"/>
          <w:szCs w:val="19"/>
          <w:color w:val="auto"/>
        </w:rPr>
      </w:pPr>
    </w:p>
    <w:p>
      <w:pPr>
        <w:ind w:firstLine="1305"/>
        <w:spacing w:after="0" w:line="258" w:lineRule="auto"/>
        <w:tabs>
          <w:tab w:leader="none" w:pos="2089" w:val="left"/>
        </w:tabs>
        <w:numPr>
          <w:ilvl w:val="0"/>
          <w:numId w:val="92"/>
        </w:numPr>
        <w:rPr>
          <w:rFonts w:ascii="Arial" w:cs="Arial" w:eastAsia="Arial" w:hAnsi="Arial"/>
          <w:sz w:val="21"/>
          <w:szCs w:val="21"/>
          <w:color w:val="auto"/>
        </w:rPr>
      </w:pPr>
      <w:r>
        <w:rPr>
          <w:rFonts w:ascii="Arial" w:cs="Arial" w:eastAsia="Arial" w:hAnsi="Arial"/>
          <w:sz w:val="21"/>
          <w:szCs w:val="21"/>
          <w:color w:val="auto"/>
        </w:rPr>
        <w:t>None of the Company, the Trustee, any Paying Agent or the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9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Effect of Consents</w:t>
      </w:r>
      <w:r>
        <w:rPr>
          <w:rFonts w:ascii="Arial" w:cs="Arial" w:eastAsia="Arial" w:hAnsi="Arial"/>
          <w:sz w:val="19"/>
          <w:szCs w:val="19"/>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An amendment, supplement or waiver becomes effective in accordance with its terms and thereafter binds every Holder.</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ARTICLE IX</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SECURITYHOLDERS’ MEETINGS</w:t>
      </w:r>
    </w:p>
    <w:p>
      <w:pPr>
        <w:spacing w:after="0" w:line="239" w:lineRule="exact"/>
        <w:rPr>
          <w:sz w:val="20"/>
          <w:szCs w:val="20"/>
          <w:color w:val="auto"/>
        </w:rPr>
      </w:pPr>
    </w:p>
    <w:p>
      <w:pPr>
        <w:ind w:right="380" w:firstLine="648"/>
        <w:spacing w:after="0" w:line="251"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Purposes of Meetings</w:t>
      </w:r>
      <w:r>
        <w:rPr>
          <w:rFonts w:ascii="Arial" w:cs="Arial" w:eastAsia="Arial" w:hAnsi="Arial"/>
          <w:sz w:val="22"/>
          <w:szCs w:val="22"/>
          <w:color w:val="auto"/>
        </w:rPr>
        <w:t>. A meeting of Securityholders of any or all series may be called at any time and from time to time pursuant to the provisions of this Article IX for any of the following purposes:</w:t>
      </w:r>
    </w:p>
    <w:p>
      <w:pPr>
        <w:spacing w:after="0" w:line="200" w:lineRule="exact"/>
        <w:rPr>
          <w:sz w:val="20"/>
          <w:szCs w:val="20"/>
          <w:color w:val="auto"/>
        </w:rPr>
      </w:pPr>
    </w:p>
    <w:p>
      <w:pPr>
        <w:ind w:firstLine="1305"/>
        <w:spacing w:after="0"/>
        <w:tabs>
          <w:tab w:leader="none" w:pos="2077"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213" w:lineRule="exact"/>
        <w:rPr>
          <w:rFonts w:ascii="Arial" w:cs="Arial" w:eastAsia="Arial" w:hAnsi="Arial"/>
          <w:sz w:val="22"/>
          <w:szCs w:val="22"/>
          <w:color w:val="auto"/>
        </w:rPr>
      </w:pPr>
    </w:p>
    <w:p>
      <w:pPr>
        <w:ind w:left="2100" w:hanging="795"/>
        <w:spacing w:after="0"/>
        <w:tabs>
          <w:tab w:leader="none" w:pos="2100" w:val="left"/>
        </w:tabs>
        <w:numPr>
          <w:ilvl w:val="0"/>
          <w:numId w:val="93"/>
        </w:numPr>
        <w:rPr>
          <w:rFonts w:ascii="Arial" w:cs="Arial" w:eastAsia="Arial" w:hAnsi="Arial"/>
          <w:sz w:val="21"/>
          <w:szCs w:val="21"/>
          <w:color w:val="auto"/>
        </w:rPr>
      </w:pPr>
      <w:r>
        <w:rPr>
          <w:rFonts w:ascii="Arial" w:cs="Arial" w:eastAsia="Arial" w:hAnsi="Arial"/>
          <w:sz w:val="21"/>
          <w:szCs w:val="21"/>
          <w:color w:val="auto"/>
        </w:rPr>
        <w:t>to remove the Trustee and nominate a successor trustee pursuant to the provisions of Article XI;</w:t>
      </w:r>
    </w:p>
    <w:p>
      <w:pPr>
        <w:spacing w:after="0" w:line="244" w:lineRule="exact"/>
        <w:rPr>
          <w:rFonts w:ascii="Arial" w:cs="Arial" w:eastAsia="Arial" w:hAnsi="Arial"/>
          <w:sz w:val="21"/>
          <w:szCs w:val="21"/>
          <w:color w:val="auto"/>
        </w:rPr>
      </w:pPr>
    </w:p>
    <w:p>
      <w:pPr>
        <w:ind w:left="2080" w:hanging="775"/>
        <w:spacing w:after="0"/>
        <w:tabs>
          <w:tab w:leader="none" w:pos="20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to consent to the execution of an Indenture or of indentures supplemental hereto pursuant to the provisions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Section 14.02; or</w:t>
      </w:r>
    </w:p>
    <w:p>
      <w:pPr>
        <w:spacing w:after="0" w:line="215" w:lineRule="exact"/>
        <w:rPr>
          <w:rFonts w:ascii="Arial" w:cs="Arial" w:eastAsia="Arial" w:hAnsi="Arial"/>
          <w:sz w:val="19"/>
          <w:szCs w:val="19"/>
          <w:color w:val="auto"/>
        </w:rPr>
      </w:pPr>
    </w:p>
    <w:p>
      <w:pPr>
        <w:ind w:right="200" w:firstLine="1305"/>
        <w:spacing w:after="0"/>
        <w:tabs>
          <w:tab w:leader="none" w:pos="2089"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213"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Call of Meetings by Trustee</w:t>
      </w:r>
      <w:r>
        <w:rPr>
          <w:rFonts w:ascii="Arial" w:cs="Arial" w:eastAsia="Arial" w:hAnsi="Arial"/>
          <w:sz w:val="21"/>
          <w:szCs w:val="21"/>
          <w:color w:val="auto"/>
        </w:rPr>
        <w:t>. The Trustee may at any time call a meeting of all Securityholders of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to Holders of Securities of such series at their addresses as they shall appear on the Register of the Company. Such notice shall be mailed not less than 20 nor more than 90 days prior to the date fixed for the meeting.</w:t>
      </w:r>
    </w:p>
    <w:p>
      <w:pPr>
        <w:spacing w:after="0" w:line="204"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Call of Meetings by Company or Securityholders</w:t>
      </w:r>
      <w:r>
        <w:rPr>
          <w:rFonts w:ascii="Arial" w:cs="Arial" w:eastAsia="Arial" w:hAnsi="Arial"/>
          <w:sz w:val="21"/>
          <w:szCs w:val="21"/>
          <w:color w:val="auto"/>
        </w:rPr>
        <w:t>. In case at any time the Company or the Holders of at least 10% in aggregate principal amount of the Securities of a series (or of all series, as the case may be) then Outstanding that may be affected by the action proposed to be taken, shall have requested the Trustee to call a meeting of Securityholders of such series (or of all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20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Qualifications for Voting</w:t>
      </w:r>
      <w:r>
        <w:rPr>
          <w:rFonts w:ascii="Arial" w:cs="Arial" w:eastAsia="Arial" w:hAnsi="Arial"/>
          <w:sz w:val="19"/>
          <w:szCs w:val="19"/>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2" w:name="page93"/>
    <w:bookmarkEnd w:id="92"/>
    <w:p>
      <w:pPr>
        <w:ind w:left="660"/>
        <w:spacing w:after="0"/>
        <w:tabs>
          <w:tab w:leader="none" w:pos="220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u w:val="single" w:color="auto"/>
          <w:color w:val="auto"/>
        </w:rPr>
        <w:t>Regulation of Meetings</w:t>
      </w:r>
      <w:r>
        <w:rPr>
          <w:rFonts w:ascii="Arial" w:cs="Arial" w:eastAsia="Arial" w:hAnsi="Arial"/>
          <w:sz w:val="19"/>
          <w:szCs w:val="19"/>
          <w:color w:val="auto"/>
        </w:rPr>
        <w:t>.</w:t>
      </w:r>
    </w:p>
    <w:p>
      <w:pPr>
        <w:spacing w:after="0" w:line="234" w:lineRule="exact"/>
        <w:rPr>
          <w:sz w:val="20"/>
          <w:szCs w:val="20"/>
          <w:color w:val="auto"/>
        </w:rPr>
      </w:pPr>
    </w:p>
    <w:p>
      <w:pPr>
        <w:ind w:right="80" w:firstLine="1305"/>
        <w:spacing w:after="0" w:line="236" w:lineRule="auto"/>
        <w:tabs>
          <w:tab w:leader="none" w:pos="2077"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214" w:lineRule="exact"/>
        <w:rPr>
          <w:rFonts w:ascii="Arial" w:cs="Arial" w:eastAsia="Arial" w:hAnsi="Arial"/>
          <w:sz w:val="22"/>
          <w:szCs w:val="22"/>
          <w:color w:val="auto"/>
        </w:rPr>
      </w:pPr>
    </w:p>
    <w:p>
      <w:pPr>
        <w:ind w:right="140" w:firstLine="1305"/>
        <w:spacing w:after="0" w:line="287" w:lineRule="auto"/>
        <w:tabs>
          <w:tab w:leader="none" w:pos="2085"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170" w:lineRule="exact"/>
        <w:rPr>
          <w:rFonts w:ascii="Arial" w:cs="Arial" w:eastAsia="Arial" w:hAnsi="Arial"/>
          <w:sz w:val="19"/>
          <w:szCs w:val="19"/>
          <w:color w:val="auto"/>
        </w:rPr>
      </w:pPr>
    </w:p>
    <w:p>
      <w:pPr>
        <w:ind w:right="80" w:firstLine="1305"/>
        <w:spacing w:after="0" w:line="273" w:lineRule="auto"/>
        <w:tabs>
          <w:tab w:leader="none" w:pos="2065" w:val="left"/>
        </w:tabs>
        <w:numPr>
          <w:ilvl w:val="0"/>
          <w:numId w:val="94"/>
        </w:numPr>
        <w:rPr>
          <w:rFonts w:ascii="Arial" w:cs="Arial" w:eastAsia="Arial" w:hAnsi="Arial"/>
          <w:sz w:val="19"/>
          <w:szCs w:val="19"/>
          <w:color w:val="auto"/>
        </w:rPr>
      </w:pPr>
      <w:r>
        <w:rPr>
          <w:rFonts w:ascii="Arial" w:cs="Arial" w:eastAsia="Arial" w:hAnsi="Arial"/>
          <w:sz w:val="19"/>
          <w:szCs w:val="19"/>
          <w:color w:val="auto"/>
        </w:rPr>
        <w:t>At any meeting of Securityholders of a series, each Securityholder of such series of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duly called pursuant to the provisions of Section 9.02 or 9.03, the presence of Persons holding or representing Securities in an aggregate principal amount sufficient to take action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Voting</w:t>
      </w:r>
      <w:r>
        <w:rPr>
          <w:rFonts w:ascii="Arial" w:cs="Arial" w:eastAsia="Arial" w:hAnsi="Arial"/>
          <w:sz w:val="19"/>
          <w:szCs w:val="19"/>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Any record so signed and verified shall be conclusive evidence of the matters therein stated.</w:t>
      </w:r>
    </w:p>
    <w:p>
      <w:pPr>
        <w:spacing w:after="0" w:line="234"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u w:val="single" w:color="auto"/>
          <w:color w:val="auto"/>
        </w:rPr>
        <w:t>No Delay of Rights by Meeting</w:t>
      </w:r>
      <w:r>
        <w:rPr>
          <w:rFonts w:ascii="Arial" w:cs="Arial" w:eastAsia="Arial" w:hAnsi="Arial"/>
          <w:sz w:val="19"/>
          <w:szCs w:val="19"/>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REPORTS BY THE COMPANY AND THE TRUSTEE AND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SECURITYHOLDERS’ LISTS</w:t>
      </w:r>
    </w:p>
    <w:p>
      <w:pPr>
        <w:spacing w:after="0" w:line="21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u w:val="single" w:color="auto"/>
          <w:color w:val="auto"/>
        </w:rPr>
        <w:t>Reports by Trustee</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ind w:right="140" w:firstLine="1305"/>
        <w:spacing w:after="0" w:line="236" w:lineRule="auto"/>
        <w:tabs>
          <w:tab w:leader="none" w:pos="20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Trustee shall transmit to Holders such reports concerning the Trustee and its actions under this Indenture as may be required pursuant to the Trust Indenture Act at the times and in the manner provided pursuant thereto. If required by Section 313 (a)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ind w:right="160" w:firstLine="1305"/>
        <w:spacing w:after="0" w:line="287" w:lineRule="auto"/>
        <w:tabs>
          <w:tab w:leader="none" w:pos="2085"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Company agrees to notify the Trustee in writing when, as and if the Securities become listed on any stock exchange or any delisting thereof.</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right="260" w:firstLine="1305"/>
        <w:spacing w:after="0" w:line="251" w:lineRule="auto"/>
        <w:tabs>
          <w:tab w:leader="none" w:pos="20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Company will reimburse the Trustee for all expenses incurred in the preparation and transmission of any report pursuant to the provisions of this Section 10.01 and of Section 10.02.</w:t>
      </w:r>
    </w:p>
    <w:p>
      <w:pPr>
        <w:spacing w:after="0" w:line="200"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Reports by the Company</w:t>
      </w:r>
      <w:r>
        <w:rPr>
          <w:rFonts w:ascii="Arial" w:cs="Arial" w:eastAsia="Arial" w:hAnsi="Arial"/>
          <w:sz w:val="19"/>
          <w:szCs w:val="19"/>
          <w:color w:val="auto"/>
        </w:rPr>
        <w:t xml:space="preserve">. The Company shall file with the Trustee and the SEC, and transmit to Holders, such information, documents and other reports, and such summaries thereof, as may be required pursuant to the Trust Indenture Act at the times and in the manner provided in the Trust Indenture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available on EDGAR, any such information, documents or reports required to be filed with the SEC pursuant to Section 13 or 15(d) of the Exchange Act shall be filed with the Trustee within 30 days after the same is filed with the SEC,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Trustee shall not be required to determine whether such information, documents or reports are available on EDGAR.</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4" w:name="page95"/>
    <w:bookmarkEnd w:id="94"/>
    <w:p>
      <w:pPr>
        <w:ind w:right="180"/>
        <w:spacing w:after="0" w:line="249" w:lineRule="auto"/>
        <w:rPr>
          <w:sz w:val="20"/>
          <w:szCs w:val="20"/>
          <w:color w:val="auto"/>
        </w:rPr>
      </w:pPr>
      <w:r>
        <w:rPr>
          <w:rFonts w:ascii="Arial" w:cs="Arial" w:eastAsia="Arial" w:hAnsi="Arial"/>
          <w:sz w:val="21"/>
          <w:szCs w:val="21"/>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Notwithstanding any provisions hereunder to the contrary, the foregoing provisions of this Section 10.02 are subject, in their entirety, to the provisions of Section 7.01.</w:t>
      </w:r>
    </w:p>
    <w:p>
      <w:pPr>
        <w:spacing w:after="0" w:line="206"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Securityholders’ Lists</w:t>
      </w:r>
      <w:r>
        <w:rPr>
          <w:rFonts w:ascii="Arial" w:cs="Arial" w:eastAsia="Arial" w:hAnsi="Arial"/>
          <w:sz w:val="22"/>
          <w:szCs w:val="22"/>
          <w:color w:val="auto"/>
        </w:rPr>
        <w:t>. The Company covenants and agrees that it will furnish or cause to be furnished to the Trustee:</w:t>
      </w:r>
    </w:p>
    <w:p>
      <w:pPr>
        <w:spacing w:after="0" w:line="200" w:lineRule="exact"/>
        <w:rPr>
          <w:sz w:val="20"/>
          <w:szCs w:val="20"/>
          <w:color w:val="auto"/>
        </w:rPr>
      </w:pPr>
    </w:p>
    <w:p>
      <w:pPr>
        <w:ind w:right="20" w:firstLine="1305"/>
        <w:spacing w:after="0"/>
        <w:tabs>
          <w:tab w:leader="none" w:pos="2077" w:val="left"/>
        </w:tabs>
        <w:numPr>
          <w:ilvl w:val="0"/>
          <w:numId w:val="96"/>
        </w:numPr>
        <w:rPr>
          <w:rFonts w:ascii="Arial" w:cs="Arial" w:eastAsia="Arial" w:hAnsi="Arial"/>
          <w:sz w:val="22"/>
          <w:szCs w:val="22"/>
          <w:color w:val="auto"/>
        </w:rPr>
      </w:pPr>
      <w:r>
        <w:rPr>
          <w:rFonts w:ascii="Arial" w:cs="Arial" w:eastAsia="Arial" w:hAnsi="Arial"/>
          <w:sz w:val="22"/>
          <w:szCs w:val="22"/>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213" w:lineRule="exact"/>
        <w:rPr>
          <w:rFonts w:ascii="Arial" w:cs="Arial" w:eastAsia="Arial" w:hAnsi="Arial"/>
          <w:sz w:val="22"/>
          <w:szCs w:val="22"/>
          <w:color w:val="auto"/>
        </w:rPr>
      </w:pPr>
    </w:p>
    <w:p>
      <w:pPr>
        <w:ind w:right="240" w:firstLine="1305"/>
        <w:spacing w:after="0" w:line="328" w:lineRule="auto"/>
        <w:tabs>
          <w:tab w:leader="none" w:pos="2089" w:val="left"/>
        </w:tabs>
        <w:numPr>
          <w:ilvl w:val="0"/>
          <w:numId w:val="96"/>
        </w:numPr>
        <w:rPr>
          <w:rFonts w:ascii="Arial" w:cs="Arial" w:eastAsia="Arial" w:hAnsi="Arial"/>
          <w:sz w:val="19"/>
          <w:szCs w:val="19"/>
          <w:color w:val="auto"/>
        </w:rPr>
      </w:pPr>
      <w:r>
        <w:rPr>
          <w:rFonts w:ascii="Arial" w:cs="Arial" w:eastAsia="Arial" w:hAnsi="Arial"/>
          <w:sz w:val="19"/>
          <w:szCs w:val="19"/>
          <w:color w:val="auto"/>
        </w:rPr>
        <w:t>at such other times as the Trustee may request in writing, within 30 days after receipt by the Company of any such request, a list of similar form and content as of a date not more than 15 days prior to the time such list is furnished;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so long as the Trustee shall be the Registrar, such lists shall not be required to be furnished.</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CONCERNING THE TRUSTEE</w:t>
      </w:r>
    </w:p>
    <w:p>
      <w:pPr>
        <w:spacing w:after="0" w:line="239"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u w:val="single" w:color="auto"/>
          <w:color w:val="auto"/>
        </w:rPr>
        <w:t>Rights of Trustees; Compensation and Indemnity</w:t>
      </w:r>
      <w:r>
        <w:rPr>
          <w:rFonts w:ascii="Arial" w:cs="Arial" w:eastAsia="Arial" w:hAnsi="Arial"/>
          <w:sz w:val="22"/>
          <w:szCs w:val="22"/>
          <w:color w:val="auto"/>
        </w:rPr>
        <w:t>. The Trustee accepts the trusts created by this Indenture upon the terms and conditions hereof, including the following, to all of which the parties hereto and the Holders from time to time of the Securities agree:</w:t>
      </w:r>
    </w:p>
    <w:p>
      <w:pPr>
        <w:spacing w:after="0" w:line="200" w:lineRule="exact"/>
        <w:rPr>
          <w:sz w:val="20"/>
          <w:szCs w:val="20"/>
          <w:color w:val="auto"/>
        </w:rPr>
      </w:pPr>
    </w:p>
    <w:p>
      <w:pPr>
        <w:spacing w:after="0" w:line="257" w:lineRule="exact"/>
        <w:rPr>
          <w:sz w:val="20"/>
          <w:szCs w:val="20"/>
          <w:color w:val="auto"/>
        </w:rPr>
      </w:pPr>
    </w:p>
    <w:p>
      <w:pPr>
        <w:ind w:firstLine="1305"/>
        <w:spacing w:after="0" w:line="279" w:lineRule="auto"/>
        <w:tabs>
          <w:tab w:leader="none" w:pos="2073"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(including the reasonable expenses and disbursements of its agents and counsel), except any such expense, disbursement or advance as may be attributable to its own negligence or willful misconduct.</w:t>
      </w:r>
    </w:p>
    <w:p>
      <w:pPr>
        <w:spacing w:after="0" w:line="178"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The Company also agrees to indemnify each of the Trustee and any predecessor Trustee hereunder for, and to hold it harmless against, any and all loss, liability, damage, claim, or expense incurred without its own negligence or willful misconduct, arising out of or in connection with the acceptance or administration of the trust or trusts hereunder and the performance of its duties (including in any agent capacity in which it acts), as well as the costs and expenses of defending itself against any claim (whether asserted by the Company, a Holder or any other Person) or liability in connection with the exercise or performance of any of its powers or duties hereunder, except those attributable to its negligence or willful misconduct. The Trustee shall notify the Company promptly of any claim for which it may seek indemnity. The Company shall defend the claim and the Trustee shall cooperate in the defense. The Trustee may have one separate counsel of its selection and the Company shall pay the reasonable fees and expenses of such counsel. The Company need not pay for any settlement made without its consent, which consent shall not be unreasonably withheld.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5" w:name="page96"/>
    <w:bookmarkEnd w:id="95"/>
    <w:p>
      <w:pPr>
        <w:ind w:right="240"/>
        <w:spacing w:after="0" w:line="246" w:lineRule="auto"/>
        <w:rPr>
          <w:sz w:val="20"/>
          <w:szCs w:val="20"/>
          <w:color w:val="auto"/>
        </w:rPr>
      </w:pPr>
      <w:r>
        <w:rPr>
          <w:rFonts w:ascii="Arial" w:cs="Arial" w:eastAsia="Arial" w:hAnsi="Arial"/>
          <w:sz w:val="21"/>
          <w:szCs w:val="21"/>
          <w:color w:val="auto"/>
        </w:rPr>
        <w:t>As security for the performance of the obligations of the Company under this Section 11.01(a), the Trustee shall have a lien upon all property and funds held or collected by the Trustee as such, except funds held in trust by the Trustee to pay principal of and interest on any Securities.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208" w:lineRule="exact"/>
        <w:rPr>
          <w:sz w:val="20"/>
          <w:szCs w:val="20"/>
          <w:color w:val="auto"/>
        </w:rPr>
      </w:pPr>
    </w:p>
    <w:p>
      <w:pPr>
        <w:ind w:right="80" w:firstLine="1305"/>
        <w:spacing w:after="0"/>
        <w:tabs>
          <w:tab w:leader="none" w:pos="2085"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213" w:lineRule="exact"/>
        <w:rPr>
          <w:rFonts w:ascii="Arial" w:cs="Arial" w:eastAsia="Arial" w:hAnsi="Arial"/>
          <w:sz w:val="22"/>
          <w:szCs w:val="22"/>
          <w:color w:val="auto"/>
        </w:rPr>
      </w:pPr>
    </w:p>
    <w:p>
      <w:pPr>
        <w:ind w:firstLine="1305"/>
        <w:spacing w:after="0" w:line="274" w:lineRule="auto"/>
        <w:tabs>
          <w:tab w:leader="none" w:pos="2073"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185" w:lineRule="exact"/>
        <w:rPr>
          <w:rFonts w:ascii="Arial" w:cs="Arial" w:eastAsia="Arial" w:hAnsi="Arial"/>
          <w:sz w:val="19"/>
          <w:szCs w:val="19"/>
          <w:color w:val="auto"/>
        </w:rPr>
      </w:pPr>
    </w:p>
    <w:p>
      <w:pPr>
        <w:ind w:right="200" w:firstLine="1305"/>
        <w:spacing w:after="0"/>
        <w:tabs>
          <w:tab w:leader="none" w:pos="2085"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Trustee may consult with counsel of its selection, and, to the extent permitted by Section 11.02, any advice or Opinion of Counsel shall be full and complete authorization and protection in respect of any action taken or suffered by the Trustee hereunder in good faith and in accordance with such Opinion of Counsel.</w:t>
      </w:r>
    </w:p>
    <w:p>
      <w:pPr>
        <w:spacing w:after="0" w:line="213" w:lineRule="exact"/>
        <w:rPr>
          <w:rFonts w:ascii="Arial" w:cs="Arial" w:eastAsia="Arial" w:hAnsi="Arial"/>
          <w:sz w:val="22"/>
          <w:szCs w:val="22"/>
          <w:color w:val="auto"/>
        </w:rPr>
      </w:pPr>
    </w:p>
    <w:p>
      <w:pPr>
        <w:ind w:right="240" w:firstLine="1305"/>
        <w:spacing w:after="0" w:line="279" w:lineRule="auto"/>
        <w:tabs>
          <w:tab w:leader="none" w:pos="2073"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Trustee, to the extent permitted by Section 11.02, may conclusively rely upon the certificate of the Secretary or one of the Assistant Secretaries of the Company as to the adoption of any Board Resolution or resolution of the shareholders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conclusively rely upon, an Officer’s Certificate of the Company (unless other evidence in respect thereof be herein specifically prescribed).</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6" w:name="page97"/>
    <w:bookmarkEnd w:id="96"/>
    <w:p>
      <w:pPr>
        <w:ind w:left="-20" w:firstLine="1305"/>
        <w:spacing w:after="0" w:line="258" w:lineRule="auto"/>
        <w:tabs>
          <w:tab w:leader="none" w:pos="2033" w:val="left"/>
        </w:tabs>
        <w:numPr>
          <w:ilvl w:val="0"/>
          <w:numId w:val="99"/>
        </w:numPr>
        <w:rPr>
          <w:rFonts w:ascii="Arial" w:cs="Arial" w:eastAsia="Arial" w:hAnsi="Arial"/>
          <w:sz w:val="21"/>
          <w:szCs w:val="21"/>
          <w:color w:val="auto"/>
        </w:rPr>
      </w:pPr>
      <w:r>
        <w:rPr>
          <w:rFonts w:ascii="Arial" w:cs="Arial" w:eastAsia="Arial" w:hAnsi="Arial"/>
          <w:sz w:val="21"/>
          <w:szCs w:val="21"/>
          <w:color w:val="auto"/>
        </w:rPr>
        <w:t>Subject to Section 11.04,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94" w:lineRule="exact"/>
        <w:rPr>
          <w:rFonts w:ascii="Arial" w:cs="Arial" w:eastAsia="Arial" w:hAnsi="Arial"/>
          <w:sz w:val="21"/>
          <w:szCs w:val="21"/>
          <w:color w:val="auto"/>
        </w:rPr>
      </w:pPr>
    </w:p>
    <w:p>
      <w:pPr>
        <w:ind w:left="-20" w:right="120" w:firstLine="1305"/>
        <w:spacing w:after="0"/>
        <w:tabs>
          <w:tab w:leader="none" w:pos="2069" w:val="left"/>
        </w:tabs>
        <w:numPr>
          <w:ilvl w:val="0"/>
          <w:numId w:val="99"/>
        </w:numPr>
        <w:rPr>
          <w:rFonts w:ascii="Arial" w:cs="Arial" w:eastAsia="Arial" w:hAnsi="Arial"/>
          <w:sz w:val="22"/>
          <w:szCs w:val="22"/>
          <w:color w:val="auto"/>
        </w:rPr>
      </w:pPr>
      <w:r>
        <w:rPr>
          <w:rFonts w:ascii="Arial" w:cs="Arial" w:eastAsia="Arial" w:hAnsi="Arial"/>
          <w:sz w:val="22"/>
          <w:szCs w:val="22"/>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213" w:lineRule="exact"/>
        <w:rPr>
          <w:rFonts w:ascii="Arial" w:cs="Arial" w:eastAsia="Arial" w:hAnsi="Arial"/>
          <w:sz w:val="22"/>
          <w:szCs w:val="22"/>
          <w:color w:val="auto"/>
        </w:rPr>
      </w:pPr>
    </w:p>
    <w:p>
      <w:pPr>
        <w:ind w:left="-20" w:right="160" w:firstLine="1305"/>
        <w:spacing w:after="0" w:line="287" w:lineRule="auto"/>
        <w:tabs>
          <w:tab w:leader="none" w:pos="2057"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70" w:lineRule="exact"/>
        <w:rPr>
          <w:rFonts w:ascii="Arial" w:cs="Arial" w:eastAsia="Arial" w:hAnsi="Arial"/>
          <w:sz w:val="19"/>
          <w:szCs w:val="19"/>
          <w:color w:val="auto"/>
        </w:rPr>
      </w:pPr>
    </w:p>
    <w:p>
      <w:pPr>
        <w:ind w:left="-20" w:right="380" w:firstLine="1305"/>
        <w:spacing w:after="0" w:line="238" w:lineRule="auto"/>
        <w:tabs>
          <w:tab w:leader="none" w:pos="2021"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Subject to the provisions of Section 11.02, the Trustee may conclusively rely and shall be protected in acting or refraining from acting upon any resolution, certificate, statement, instrument, opinion, report, notice, request, consent, order, approval, bond, debenture or other paper or document reasonably believed by it to be genuine and to have been signed or presented by the proper party or parties.</w:t>
      </w:r>
    </w:p>
    <w:p>
      <w:pPr>
        <w:spacing w:after="0" w:line="212" w:lineRule="exact"/>
        <w:rPr>
          <w:rFonts w:ascii="Arial" w:cs="Arial" w:eastAsia="Arial" w:hAnsi="Arial"/>
          <w:sz w:val="22"/>
          <w:szCs w:val="22"/>
          <w:color w:val="auto"/>
        </w:rPr>
      </w:pPr>
    </w:p>
    <w:p>
      <w:pPr>
        <w:ind w:left="-20" w:right="120" w:firstLine="1305"/>
        <w:spacing w:after="0" w:line="287" w:lineRule="auto"/>
        <w:tabs>
          <w:tab w:leader="none" w:pos="2021" w:val="left"/>
        </w:tabs>
        <w:numPr>
          <w:ilvl w:val="0"/>
          <w:numId w:val="99"/>
        </w:numPr>
        <w:rPr>
          <w:rFonts w:ascii="Arial" w:cs="Arial" w:eastAsia="Arial" w:hAnsi="Arial"/>
          <w:sz w:val="19"/>
          <w:szCs w:val="19"/>
          <w:color w:val="auto"/>
        </w:rPr>
      </w:pPr>
      <w:r>
        <w:rPr>
          <w:rFonts w:ascii="Arial" w:cs="Arial" w:eastAsia="Arial" w:hAnsi="Arial"/>
          <w:sz w:val="19"/>
          <w:szCs w:val="19"/>
          <w:color w:val="auto"/>
        </w:rPr>
        <w:t>Subject to the provisions of Section 11.02,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satisfactory to it against the costs, expenses and liabilities which may be incurred by it therein or thereby.</w:t>
      </w:r>
    </w:p>
    <w:p>
      <w:pPr>
        <w:spacing w:after="0" w:line="170" w:lineRule="exact"/>
        <w:rPr>
          <w:rFonts w:ascii="Arial" w:cs="Arial" w:eastAsia="Arial" w:hAnsi="Arial"/>
          <w:sz w:val="19"/>
          <w:szCs w:val="19"/>
          <w:color w:val="auto"/>
        </w:rPr>
      </w:pPr>
    </w:p>
    <w:p>
      <w:pPr>
        <w:ind w:left="-20" w:right="40" w:firstLine="1305"/>
        <w:spacing w:after="0"/>
        <w:tabs>
          <w:tab w:leader="none" w:pos="2069"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Subject to the provisions of Section 11.02, the Trustee shall not be liable for any action taken or omitted by it in good faith and believed by it to be authorized or within its discretion or within the rights or powers conferred upon it by this Indenture.</w:t>
      </w:r>
    </w:p>
    <w:p>
      <w:pPr>
        <w:spacing w:after="0" w:line="213" w:lineRule="exact"/>
        <w:rPr>
          <w:rFonts w:ascii="Arial" w:cs="Arial" w:eastAsia="Arial" w:hAnsi="Arial"/>
          <w:sz w:val="22"/>
          <w:szCs w:val="22"/>
          <w:color w:val="auto"/>
        </w:rPr>
      </w:pPr>
    </w:p>
    <w:p>
      <w:pPr>
        <w:jc w:val="both"/>
        <w:ind w:left="-20" w:right="160" w:firstLine="1305"/>
        <w:spacing w:after="0" w:line="258" w:lineRule="auto"/>
        <w:tabs>
          <w:tab w:leader="none" w:pos="2021" w:val="left"/>
        </w:tabs>
        <w:numPr>
          <w:ilvl w:val="0"/>
          <w:numId w:val="99"/>
        </w:numPr>
        <w:rPr>
          <w:rFonts w:ascii="Arial" w:cs="Arial" w:eastAsia="Arial" w:hAnsi="Arial"/>
          <w:sz w:val="21"/>
          <w:szCs w:val="21"/>
          <w:color w:val="auto"/>
        </w:rPr>
      </w:pPr>
      <w:r>
        <w:rPr>
          <w:rFonts w:ascii="Arial" w:cs="Arial" w:eastAsia="Arial" w:hAnsi="Arial"/>
          <w:sz w:val="21"/>
          <w:szCs w:val="21"/>
          <w:color w:val="auto"/>
        </w:rPr>
        <w:t>Subject to the provisions of Section 11.02, the Trustee shall not be deemed to have knowledge or notice of any Default or Event of Default unless a Responsible Officer of the Trustee has actual knowledge thereof or unless the Holders of not less than 25% of the Outstanding Securities notify the Trustee thereof.</w:t>
      </w:r>
    </w:p>
    <w:p>
      <w:pPr>
        <w:spacing w:after="0" w:line="193" w:lineRule="exact"/>
        <w:rPr>
          <w:rFonts w:ascii="Arial" w:cs="Arial" w:eastAsia="Arial" w:hAnsi="Arial"/>
          <w:sz w:val="21"/>
          <w:szCs w:val="21"/>
          <w:color w:val="auto"/>
        </w:rPr>
      </w:pPr>
    </w:p>
    <w:p>
      <w:pPr>
        <w:ind w:left="-20" w:firstLine="1305"/>
        <w:spacing w:after="0" w:line="287" w:lineRule="auto"/>
        <w:tabs>
          <w:tab w:leader="none" w:pos="2075" w:val="left"/>
        </w:tabs>
        <w:numPr>
          <w:ilvl w:val="0"/>
          <w:numId w:val="99"/>
        </w:numPr>
        <w:rPr>
          <w:rFonts w:ascii="Arial" w:cs="Arial" w:eastAsia="Arial" w:hAnsi="Arial"/>
          <w:sz w:val="19"/>
          <w:szCs w:val="19"/>
          <w:color w:val="auto"/>
        </w:rPr>
      </w:pPr>
      <w:r>
        <w:rPr>
          <w:rFonts w:ascii="Arial" w:cs="Arial" w:eastAsia="Arial" w:hAnsi="Arial"/>
          <w:sz w:val="19"/>
          <w:szCs w:val="19"/>
          <w:color w:val="auto"/>
        </w:rPr>
        <w:t>Subject to the provisions of the first paragraph of Section 11.02,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bookmarkStart w:id="97" w:name="page98"/>
    <w:bookmarkEnd w:id="97"/>
    <w:p>
      <w:pPr>
        <w:ind w:right="220" w:firstLine="1305"/>
        <w:spacing w:after="0" w:line="329" w:lineRule="auto"/>
        <w:tabs>
          <w:tab w:leader="none" w:pos="208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30" w:lineRule="exact"/>
        <w:rPr>
          <w:rFonts w:ascii="Arial" w:cs="Arial" w:eastAsia="Arial" w:hAnsi="Arial"/>
          <w:sz w:val="19"/>
          <w:szCs w:val="19"/>
          <w:color w:val="auto"/>
        </w:rPr>
      </w:pPr>
    </w:p>
    <w:p>
      <w:pPr>
        <w:ind w:firstLine="1305"/>
        <w:spacing w:after="0"/>
        <w:tabs>
          <w:tab w:leader="none" w:pos="208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213" w:lineRule="exact"/>
        <w:rPr>
          <w:rFonts w:ascii="Arial" w:cs="Arial" w:eastAsia="Arial" w:hAnsi="Arial"/>
          <w:sz w:val="22"/>
          <w:szCs w:val="22"/>
          <w:color w:val="auto"/>
        </w:rPr>
      </w:pPr>
    </w:p>
    <w:p>
      <w:pPr>
        <w:ind w:left="2100" w:hanging="795"/>
        <w:spacing w:after="0"/>
        <w:tabs>
          <w:tab w:leader="none" w:pos="21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duties hereunder.</w:t>
      </w:r>
    </w:p>
    <w:p>
      <w:pPr>
        <w:spacing w:after="0" w:line="215" w:lineRule="exact"/>
        <w:rPr>
          <w:rFonts w:ascii="Arial" w:cs="Arial" w:eastAsia="Arial" w:hAnsi="Arial"/>
          <w:sz w:val="19"/>
          <w:szCs w:val="19"/>
          <w:color w:val="auto"/>
        </w:rPr>
      </w:pPr>
    </w:p>
    <w:p>
      <w:pPr>
        <w:ind w:right="580" w:firstLine="1305"/>
        <w:spacing w:after="0" w:line="251" w:lineRule="auto"/>
        <w:tabs>
          <w:tab w:leader="none" w:pos="208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 certificate setting forth the names of individuals and/or titles of officers authorized at such time to take specified actions pursuant to this Indenture.</w:t>
      </w:r>
    </w:p>
    <w:p>
      <w:pPr>
        <w:spacing w:after="0" w:line="20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87" w:lineRule="auto"/>
        <w:tabs>
          <w:tab w:leader="none" w:pos="207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70" w:lineRule="exact"/>
        <w:rPr>
          <w:rFonts w:ascii="Arial" w:cs="Arial" w:eastAsia="Arial" w:hAnsi="Arial"/>
          <w:sz w:val="19"/>
          <w:szCs w:val="19"/>
          <w:color w:val="auto"/>
        </w:rPr>
      </w:pPr>
    </w:p>
    <w:p>
      <w:pPr>
        <w:ind w:right="40" w:firstLine="1305"/>
        <w:spacing w:after="0"/>
        <w:tabs>
          <w:tab w:leader="none" w:pos="208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213" w:lineRule="exact"/>
        <w:rPr>
          <w:rFonts w:ascii="Arial" w:cs="Arial" w:eastAsia="Arial" w:hAnsi="Arial"/>
          <w:sz w:val="22"/>
          <w:szCs w:val="22"/>
          <w:color w:val="auto"/>
        </w:rPr>
      </w:pPr>
    </w:p>
    <w:p>
      <w:pPr>
        <w:ind w:left="660" w:right="200" w:firstLine="1293"/>
        <w:spacing w:after="0" w:line="251" w:lineRule="auto"/>
        <w:tabs>
          <w:tab w:leader="none" w:pos="2755" w:val="left"/>
        </w:tabs>
        <w:numPr>
          <w:ilvl w:val="1"/>
          <w:numId w:val="101"/>
        </w:numPr>
        <w:rPr>
          <w:rFonts w:ascii="Arial" w:cs="Arial" w:eastAsia="Arial" w:hAnsi="Arial"/>
          <w:sz w:val="22"/>
          <w:szCs w:val="22"/>
          <w:color w:val="auto"/>
        </w:rPr>
      </w:pPr>
      <w:r>
        <w:rPr>
          <w:rFonts w:ascii="Arial" w:cs="Arial" w:eastAsia="Arial" w:hAnsi="Arial"/>
          <w:sz w:val="22"/>
          <w:szCs w:val="22"/>
          <w:color w:val="auto"/>
        </w:rPr>
        <w:t>unless and until an Event of Default specified in Section 7.01 with respect to the Securities of any series shall have happened which at the time is continuing,</w:t>
      </w:r>
    </w:p>
    <w:p>
      <w:pPr>
        <w:spacing w:after="0" w:line="200" w:lineRule="exact"/>
        <w:rPr>
          <w:rFonts w:ascii="Arial" w:cs="Arial" w:eastAsia="Arial" w:hAnsi="Arial"/>
          <w:sz w:val="22"/>
          <w:szCs w:val="22"/>
          <w:color w:val="auto"/>
        </w:rPr>
      </w:pPr>
    </w:p>
    <w:p>
      <w:pPr>
        <w:ind w:left="660" w:right="80" w:firstLine="1941"/>
        <w:spacing w:after="0" w:line="238" w:lineRule="auto"/>
        <w:tabs>
          <w:tab w:leader="none" w:pos="3445" w:val="left"/>
        </w:tabs>
        <w:numPr>
          <w:ilvl w:val="2"/>
          <w:numId w:val="101"/>
        </w:numPr>
        <w:rPr>
          <w:rFonts w:ascii="Arial" w:cs="Arial" w:eastAsia="Arial" w:hAnsi="Arial"/>
          <w:sz w:val="22"/>
          <w:szCs w:val="22"/>
          <w:color w:val="auto"/>
        </w:rPr>
      </w:pPr>
      <w:r>
        <w:rPr>
          <w:rFonts w:ascii="Arial" w:cs="Arial" w:eastAsia="Arial" w:hAnsi="Arial"/>
          <w:sz w:val="22"/>
          <w:szCs w:val="22"/>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212" w:lineRule="exact"/>
        <w:rPr>
          <w:rFonts w:ascii="Arial" w:cs="Arial" w:eastAsia="Arial" w:hAnsi="Arial"/>
          <w:sz w:val="22"/>
          <w:szCs w:val="22"/>
          <w:color w:val="auto"/>
        </w:rPr>
      </w:pPr>
    </w:p>
    <w:p>
      <w:pPr>
        <w:ind w:left="660" w:firstLine="1941"/>
        <w:spacing w:after="0" w:line="279" w:lineRule="auto"/>
        <w:tabs>
          <w:tab w:leader="none" w:pos="3433" w:val="left"/>
        </w:tabs>
        <w:numPr>
          <w:ilvl w:val="2"/>
          <w:numId w:val="101"/>
        </w:numPr>
        <w:rPr>
          <w:rFonts w:ascii="Arial" w:cs="Arial" w:eastAsia="Arial" w:hAnsi="Arial"/>
          <w:sz w:val="19"/>
          <w:szCs w:val="19"/>
          <w:color w:val="auto"/>
        </w:rPr>
      </w:pPr>
      <w:r>
        <w:rPr>
          <w:rFonts w:ascii="Arial" w:cs="Arial" w:eastAsia="Arial" w:hAnsi="Arial"/>
          <w:sz w:val="19"/>
          <w:szCs w:val="19"/>
          <w:color w:val="auto"/>
        </w:rPr>
        <w:t>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8" w:name="page99"/>
    <w:bookmarkEnd w:id="98"/>
    <w:p>
      <w:pPr>
        <w:ind w:left="660" w:right="200" w:firstLine="1293"/>
        <w:spacing w:after="0" w:line="241" w:lineRule="auto"/>
        <w:tabs>
          <w:tab w:leader="none" w:pos="2707"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210" w:lineRule="exact"/>
        <w:rPr>
          <w:rFonts w:ascii="Arial" w:cs="Arial" w:eastAsia="Arial" w:hAnsi="Arial"/>
          <w:sz w:val="22"/>
          <w:szCs w:val="22"/>
          <w:color w:val="auto"/>
        </w:rPr>
      </w:pPr>
    </w:p>
    <w:p>
      <w:pPr>
        <w:ind w:left="660" w:firstLine="1293"/>
        <w:spacing w:after="0" w:line="238" w:lineRule="auto"/>
        <w:tabs>
          <w:tab w:leader="none" w:pos="2713"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212" w:lineRule="exact"/>
        <w:rPr>
          <w:rFonts w:ascii="Arial" w:cs="Arial" w:eastAsia="Arial" w:hAnsi="Arial"/>
          <w:sz w:val="22"/>
          <w:szCs w:val="22"/>
          <w:color w:val="auto"/>
        </w:rPr>
      </w:pPr>
    </w:p>
    <w:p>
      <w:pPr>
        <w:ind w:right="180" w:firstLine="1305"/>
        <w:spacing w:after="0" w:line="238" w:lineRule="auto"/>
        <w:tabs>
          <w:tab w:leader="none" w:pos="207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12" w:lineRule="exact"/>
        <w:rPr>
          <w:rFonts w:ascii="Arial" w:cs="Arial" w:eastAsia="Arial" w:hAnsi="Arial"/>
          <w:sz w:val="22"/>
          <w:szCs w:val="22"/>
          <w:color w:val="auto"/>
        </w:rPr>
      </w:pPr>
    </w:p>
    <w:p>
      <w:pPr>
        <w:ind w:right="220" w:firstLine="1305"/>
        <w:spacing w:after="0" w:line="328" w:lineRule="auto"/>
        <w:tabs>
          <w:tab w:leader="none" w:pos="208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3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u w:val="single" w:color="auto"/>
          <w:color w:val="auto"/>
        </w:rPr>
        <w:t>Notice of Defaults</w:t>
      </w:r>
      <w:r>
        <w:rPr>
          <w:rFonts w:ascii="Arial" w:cs="Arial" w:eastAsia="Arial" w:hAnsi="Arial"/>
          <w:sz w:val="19"/>
          <w:szCs w:val="19"/>
          <w:color w:val="auto"/>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8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21"/>
          <w:szCs w:val="21"/>
          <w:u w:val="single" w:color="auto"/>
          <w:color w:val="auto"/>
        </w:rPr>
        <w:t>Eligibility; Disqualification</w:t>
      </w:r>
      <w:r>
        <w:rPr>
          <w:rFonts w:ascii="Arial" w:cs="Arial" w:eastAsia="Arial" w:hAnsi="Arial"/>
          <w:sz w:val="21"/>
          <w:szCs w:val="21"/>
          <w:color w:val="auto"/>
        </w:rPr>
        <w:t>.</w:t>
      </w:r>
    </w:p>
    <w:p>
      <w:pPr>
        <w:spacing w:after="0" w:line="233" w:lineRule="exact"/>
        <w:rPr>
          <w:sz w:val="20"/>
          <w:szCs w:val="20"/>
          <w:color w:val="auto"/>
        </w:rPr>
      </w:pPr>
    </w:p>
    <w:p>
      <w:pPr>
        <w:ind w:right="80" w:firstLine="1305"/>
        <w:spacing w:after="0" w:line="287" w:lineRule="auto"/>
        <w:tabs>
          <w:tab w:leader="none" w:pos="207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9" w:name="page100"/>
    <w:bookmarkEnd w:id="99"/>
    <w:p>
      <w:pPr>
        <w:ind w:firstLine="1305"/>
        <w:spacing w:after="0" w:line="245" w:lineRule="auto"/>
        <w:tabs>
          <w:tab w:leader="none" w:pos="208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The Trustee shall comply with TIA Section 310(b);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21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u w:val="single" w:color="auto"/>
          <w:color w:val="auto"/>
        </w:rPr>
        <w:t>Resignation and Notice; Removal</w:t>
      </w:r>
      <w:r>
        <w:rPr>
          <w:rFonts w:ascii="Arial" w:cs="Arial" w:eastAsia="Arial" w:hAnsi="Arial"/>
          <w:sz w:val="22"/>
          <w:szCs w:val="22"/>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If at any time:</w:t>
      </w:r>
    </w:p>
    <w:p>
      <w:pPr>
        <w:spacing w:after="0" w:line="233" w:lineRule="exact"/>
        <w:rPr>
          <w:sz w:val="20"/>
          <w:szCs w:val="20"/>
          <w:color w:val="auto"/>
        </w:rPr>
      </w:pPr>
    </w:p>
    <w:p>
      <w:pPr>
        <w:ind w:left="660" w:right="100" w:firstLine="645"/>
        <w:spacing w:after="0"/>
        <w:tabs>
          <w:tab w:leader="none" w:pos="210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213" w:lineRule="exact"/>
        <w:rPr>
          <w:rFonts w:ascii="Arial" w:cs="Arial" w:eastAsia="Arial" w:hAnsi="Arial"/>
          <w:sz w:val="22"/>
          <w:szCs w:val="22"/>
          <w:color w:val="auto"/>
        </w:rPr>
      </w:pPr>
    </w:p>
    <w:p>
      <w:pPr>
        <w:ind w:left="660" w:right="100" w:firstLine="645"/>
        <w:spacing w:after="0"/>
        <w:tabs>
          <w:tab w:leader="none" w:pos="210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213" w:lineRule="exact"/>
        <w:rPr>
          <w:rFonts w:ascii="Arial" w:cs="Arial" w:eastAsia="Arial" w:hAnsi="Arial"/>
          <w:sz w:val="22"/>
          <w:szCs w:val="22"/>
          <w:color w:val="auto"/>
        </w:rPr>
      </w:pPr>
    </w:p>
    <w:p>
      <w:pPr>
        <w:ind w:left="660" w:right="220" w:firstLine="645"/>
        <w:spacing w:after="0"/>
        <w:tabs>
          <w:tab w:leader="none" w:pos="210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00" w:name="page101"/>
    <w:bookmarkEnd w:id="100"/>
    <w:p>
      <w:pPr>
        <w:jc w:val="both"/>
        <w:ind w:right="480"/>
        <w:spacing w:after="0" w:line="241" w:lineRule="auto"/>
        <w:rPr>
          <w:sz w:val="20"/>
          <w:szCs w:val="20"/>
          <w:color w:val="auto"/>
        </w:rPr>
      </w:pPr>
      <w:r>
        <w:rPr>
          <w:rFonts w:ascii="Arial" w:cs="Arial" w:eastAsia="Arial" w:hAnsi="Arial"/>
          <w:sz w:val="22"/>
          <w:szCs w:val="22"/>
          <w:color w:val="auto"/>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spacing w:after="0" w:line="211"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spacing w:after="0" w:line="16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u w:val="single" w:color="auto"/>
          <w:color w:val="auto"/>
        </w:rPr>
        <w:t>Successor Trustee by Appointment</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2" w:lineRule="auto"/>
        <w:tabs>
          <w:tab w:leader="none" w:pos="207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spacing w:after="0" w:line="188" w:lineRule="exact"/>
        <w:rPr>
          <w:rFonts w:ascii="Arial" w:cs="Arial" w:eastAsia="Arial" w:hAnsi="Arial"/>
          <w:sz w:val="19"/>
          <w:szCs w:val="19"/>
          <w:color w:val="auto"/>
        </w:rPr>
      </w:pPr>
    </w:p>
    <w:p>
      <w:pPr>
        <w:ind w:right="120" w:firstLine="1305"/>
        <w:spacing w:after="0" w:line="275" w:lineRule="auto"/>
        <w:tabs>
          <w:tab w:leader="none" w:pos="208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If any Trustee with respect to the Securities of one or more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01" w:name="page102"/>
    <w:bookmarkEnd w:id="101"/>
    <w:p>
      <w:pPr>
        <w:ind w:firstLine="1305"/>
        <w:spacing w:after="0" w:line="271" w:lineRule="auto"/>
        <w:tabs>
          <w:tab w:leader="none" w:pos="206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86"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Successor Trustee by Merger</w:t>
      </w:r>
      <w:r>
        <w:rPr>
          <w:rFonts w:ascii="Arial" w:cs="Arial" w:eastAsia="Arial" w:hAnsi="Arial"/>
          <w:sz w:val="19"/>
          <w:szCs w:val="19"/>
          <w:color w:val="auto"/>
        </w:rPr>
        <w:t xml:space="preserve">.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 to adopt the certificate of authentication of any predecessor Trustee or authenticate Securities in the name of any predecessor Trustee shall apply only to its successor or successors by merger, conversion or consolidation.</w:t>
      </w:r>
    </w:p>
    <w:p>
      <w:pPr>
        <w:spacing w:after="0" w:line="200" w:lineRule="exact"/>
        <w:rPr>
          <w:sz w:val="20"/>
          <w:szCs w:val="20"/>
          <w:color w:val="auto"/>
        </w:rPr>
      </w:pPr>
    </w:p>
    <w:p>
      <w:pPr>
        <w:spacing w:after="0" w:line="236"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 xml:space="preserve">Section 11.08 </w:t>
      </w:r>
      <w:r>
        <w:rPr>
          <w:rFonts w:ascii="Arial" w:cs="Arial" w:eastAsia="Arial" w:hAnsi="Arial"/>
          <w:sz w:val="21"/>
          <w:szCs w:val="21"/>
          <w:u w:val="single" w:color="auto"/>
          <w:color w:val="auto"/>
        </w:rPr>
        <w:t>Right to Rely on Officer’s Certificate</w:t>
      </w:r>
      <w:r>
        <w:rPr>
          <w:rFonts w:ascii="Arial" w:cs="Arial" w:eastAsia="Arial" w:hAnsi="Arial"/>
          <w:sz w:val="21"/>
          <w:szCs w:val="21"/>
          <w:color w:val="auto"/>
        </w:rPr>
        <w:t>. Subject to Section 11.02 and subject to the provisions of Section 16.01 with respect to the certificates required thereby,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or willful misconduct on the part of the Trustee, be deemed to be conclusively proved and established by an Officer’s Certificate with respect thereto delivered to the Trustee, and such Officer’s Certificate, in the absence of negligence or willful misconduct on the part of the Trustee, shall be full warrant to the Trustee for any action taken, suffered or omitted by it under the provisions of this Indenture upon the faith thereof.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ind w:right="100" w:firstLine="648"/>
        <w:spacing w:after="0" w:line="234" w:lineRule="auto"/>
        <w:rPr>
          <w:sz w:val="20"/>
          <w:szCs w:val="20"/>
          <w:color w:val="auto"/>
        </w:rPr>
      </w:pPr>
      <w:r>
        <w:rPr>
          <w:rFonts w:ascii="Arial" w:cs="Arial" w:eastAsia="Arial" w:hAnsi="Arial"/>
          <w:sz w:val="22"/>
          <w:szCs w:val="22"/>
          <w:color w:val="auto"/>
        </w:rPr>
        <w:t xml:space="preserve">Section 11.09 </w:t>
      </w:r>
      <w:r>
        <w:rPr>
          <w:rFonts w:ascii="Arial" w:cs="Arial" w:eastAsia="Arial" w:hAnsi="Arial"/>
          <w:sz w:val="22"/>
          <w:szCs w:val="22"/>
          <w:u w:val="single" w:color="auto"/>
          <w:color w:val="auto"/>
        </w:rPr>
        <w:t>Appointment of Authenticating Agent</w:t>
      </w:r>
      <w:r>
        <w:rPr>
          <w:rFonts w:ascii="Arial" w:cs="Arial" w:eastAsia="Arial" w:hAnsi="Arial"/>
          <w:sz w:val="22"/>
          <w:szCs w:val="22"/>
          <w:color w:val="auto"/>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219"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208"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75"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8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The Company agrees to pay to each Authenticating Agent from time to time reasonable compensation for its services under this Section 11.09.</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ind w:right="60" w:firstLine="648"/>
        <w:spacing w:after="0" w:line="238" w:lineRule="auto"/>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u w:val="single" w:color="auto"/>
          <w:color w:val="auto"/>
        </w:rPr>
        <w:t>Communications by Securityholders with Other Securityholders</w:t>
      </w:r>
      <w:r>
        <w:rPr>
          <w:rFonts w:ascii="Arial" w:cs="Arial" w:eastAsia="Arial" w:hAnsi="Arial"/>
          <w:sz w:val="22"/>
          <w:szCs w:val="22"/>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SATISFACTION AND DISCHARGE; DEFEASANCE</w:t>
      </w:r>
    </w:p>
    <w:p>
      <w:pPr>
        <w:spacing w:after="0" w:line="239"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If pursuant to Section 3.01, provision is made for the defeasance of Securities of a series and if the Securities of such series are denominated and payable only in U.S. Dollars (except as provided pursuant to Section 3.01), then the provisions of this Article shall be applicable except as otherwise specified pursuant to Section 3.01 for Securities of such series. Defeasance provisions, if any, for Securities denominated in a Foreign Currency may be specified pursuant to Section 3.01.</w:t>
      </w:r>
    </w:p>
    <w:p>
      <w:pPr>
        <w:spacing w:after="0" w:line="215"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Satisfaction and Discharge of Indenture</w:t>
      </w:r>
      <w:r>
        <w:rPr>
          <w:rFonts w:ascii="Arial" w:cs="Arial" w:eastAsia="Arial" w:hAnsi="Arial"/>
          <w:sz w:val="19"/>
          <w:szCs w:val="19"/>
          <w:color w:val="auto"/>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rights to receive payments of principal of and premium, if any, and interest on such Securities), and the Trustee, at the expense of the Company, shall execute proper instruments acknowledging satisfaction and discharge of this Indenture, when,</w:t>
      </w:r>
    </w:p>
    <w:p>
      <w:pPr>
        <w:spacing w:after="0" w:line="175" w:lineRule="exact"/>
        <w:rPr>
          <w:sz w:val="20"/>
          <w:szCs w:val="20"/>
          <w:color w:val="auto"/>
        </w:rPr>
      </w:pPr>
    </w:p>
    <w:p>
      <w:pPr>
        <w:ind w:left="2080" w:hanging="775"/>
        <w:spacing w:after="0"/>
        <w:tabs>
          <w:tab w:leader="none" w:pos="20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ind w:left="660" w:firstLine="1293"/>
        <w:spacing w:after="0" w:line="236" w:lineRule="auto"/>
        <w:tabs>
          <w:tab w:leader="none" w:pos="2755"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 have been delivered to the Trustee for cancellation; or</w:t>
      </w:r>
    </w:p>
    <w:p>
      <w:pPr>
        <w:spacing w:after="0" w:line="214" w:lineRule="exact"/>
        <w:rPr>
          <w:rFonts w:ascii="Arial" w:cs="Arial" w:eastAsia="Arial" w:hAnsi="Arial"/>
          <w:sz w:val="22"/>
          <w:szCs w:val="22"/>
          <w:color w:val="auto"/>
        </w:rPr>
      </w:pPr>
    </w:p>
    <w:p>
      <w:pPr>
        <w:ind w:left="2700" w:hanging="747"/>
        <w:spacing w:after="0"/>
        <w:tabs>
          <w:tab w:leader="none" w:pos="270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all Securities of such series not theretofore delivered to the Trustee for cancellation,</w:t>
      </w:r>
    </w:p>
    <w:p>
      <w:pPr>
        <w:spacing w:after="0" w:line="233" w:lineRule="exact"/>
        <w:rPr>
          <w:rFonts w:ascii="Arial" w:cs="Arial" w:eastAsia="Arial" w:hAnsi="Arial"/>
          <w:sz w:val="22"/>
          <w:szCs w:val="22"/>
          <w:color w:val="auto"/>
        </w:rPr>
      </w:pPr>
    </w:p>
    <w:p>
      <w:pPr>
        <w:ind w:left="3440" w:hanging="839"/>
        <w:spacing w:after="0"/>
        <w:tabs>
          <w:tab w:leader="none" w:pos="3440" w:val="left"/>
        </w:tabs>
        <w:numPr>
          <w:ilvl w:val="2"/>
          <w:numId w:val="109"/>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33" w:lineRule="exact"/>
        <w:rPr>
          <w:rFonts w:ascii="Arial" w:cs="Arial" w:eastAsia="Arial" w:hAnsi="Arial"/>
          <w:sz w:val="22"/>
          <w:szCs w:val="22"/>
          <w:color w:val="auto"/>
        </w:rPr>
      </w:pPr>
    </w:p>
    <w:p>
      <w:pPr>
        <w:ind w:left="3420" w:hanging="819"/>
        <w:spacing w:after="0"/>
        <w:tabs>
          <w:tab w:leader="none" w:pos="3420" w:val="left"/>
        </w:tabs>
        <w:numPr>
          <w:ilvl w:val="2"/>
          <w:numId w:val="109"/>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33" w:lineRule="exact"/>
        <w:rPr>
          <w:rFonts w:ascii="Arial" w:cs="Arial" w:eastAsia="Arial" w:hAnsi="Arial"/>
          <w:sz w:val="22"/>
          <w:szCs w:val="22"/>
          <w:color w:val="auto"/>
        </w:rPr>
      </w:pPr>
    </w:p>
    <w:p>
      <w:pPr>
        <w:ind w:left="660" w:right="20" w:firstLine="1941"/>
        <w:spacing w:after="0" w:line="258" w:lineRule="auto"/>
        <w:tabs>
          <w:tab w:leader="none" w:pos="3433" w:val="left"/>
        </w:tabs>
        <w:numPr>
          <w:ilvl w:val="2"/>
          <w:numId w:val="109"/>
        </w:numPr>
        <w:rPr>
          <w:rFonts w:ascii="Arial" w:cs="Arial" w:eastAsia="Arial" w:hAnsi="Arial"/>
          <w:sz w:val="21"/>
          <w:szCs w:val="21"/>
          <w:color w:val="auto"/>
        </w:rPr>
      </w:pPr>
      <w:r>
        <w:rPr>
          <w:rFonts w:ascii="Arial" w:cs="Arial" w:eastAsia="Arial" w:hAnsi="Arial"/>
          <w:sz w:val="21"/>
          <w:szCs w:val="21"/>
          <w:color w:val="auto"/>
        </w:rPr>
        <w:t>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4" w:name="page105"/>
    <w:bookmarkEnd w:id="104"/>
    <w:p>
      <w:pPr>
        <w:ind w:left="1300" w:right="200"/>
        <w:spacing w:after="0" w:line="275" w:lineRule="auto"/>
        <w:rPr>
          <w:sz w:val="20"/>
          <w:szCs w:val="20"/>
          <w:color w:val="auto"/>
        </w:rPr>
      </w:pPr>
      <w:r>
        <w:rPr>
          <w:rFonts w:ascii="Arial" w:cs="Arial" w:eastAsia="Arial" w:hAnsi="Arial"/>
          <w:sz w:val="19"/>
          <w:szCs w:val="19"/>
          <w:color w:val="auto"/>
        </w:rPr>
        <w:t>and the Company, in the case of (A), (B) or (C) above, has deposited or caused to be deposited with the Trustee or Paying Agent as trust funds in trust for the purpose an amount in the Currency in which such Securities are denominated (except as otherwise provided pursuant to Section 3.01) sufficient, in the opinion of an independent firm or certified public accountants,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w:t>
      </w:r>
    </w:p>
    <w:p>
      <w:pPr>
        <w:spacing w:after="0" w:line="186" w:lineRule="exact"/>
        <w:rPr>
          <w:sz w:val="20"/>
          <w:szCs w:val="20"/>
          <w:color w:val="auto"/>
        </w:rPr>
      </w:pPr>
    </w:p>
    <w:p>
      <w:pPr>
        <w:ind w:left="2100" w:hanging="795"/>
        <w:spacing w:after="0"/>
        <w:tabs>
          <w:tab w:leader="none" w:pos="21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Company has paid or caused to be paid all other sums payable hereunder by the Company; and</w:t>
      </w:r>
    </w:p>
    <w:p>
      <w:pPr>
        <w:spacing w:after="0" w:line="267" w:lineRule="exact"/>
        <w:rPr>
          <w:rFonts w:ascii="Arial" w:cs="Arial" w:eastAsia="Arial" w:hAnsi="Arial"/>
          <w:sz w:val="19"/>
          <w:szCs w:val="19"/>
          <w:color w:val="auto"/>
        </w:rPr>
      </w:pPr>
    </w:p>
    <w:p>
      <w:pPr>
        <w:ind w:right="180" w:firstLine="1305"/>
        <w:spacing w:after="0"/>
        <w:tabs>
          <w:tab w:leader="none" w:pos="207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213" w:lineRule="exact"/>
        <w:rPr>
          <w:sz w:val="20"/>
          <w:szCs w:val="20"/>
          <w:color w:val="auto"/>
        </w:rPr>
      </w:pPr>
    </w:p>
    <w:p>
      <w:pPr>
        <w:ind w:left="1300"/>
        <w:spacing w:after="0" w:line="297" w:lineRule="auto"/>
        <w:rPr>
          <w:sz w:val="20"/>
          <w:szCs w:val="20"/>
          <w:color w:val="auto"/>
        </w:rPr>
      </w:pPr>
      <w:r>
        <w:rPr>
          <w:rFonts w:ascii="Arial" w:cs="Arial" w:eastAsia="Arial" w:hAnsi="Arial"/>
          <w:sz w:val="19"/>
          <w:szCs w:val="19"/>
          <w:color w:val="auto"/>
        </w:rPr>
        <w:t>Notwithstanding the satisfaction and discharge of this Indenture, the obligations of the Company to the Trustee under Section 11.01 and, if money shall have been deposited with the Trustee pursuant to subclause (B) of clause (a) (i) of this Section, the obligations of the Trustee under Section 12.07 and Section 6.03(e) shall survive.</w:t>
      </w:r>
    </w:p>
    <w:p>
      <w:pPr>
        <w:spacing w:after="0" w:line="161" w:lineRule="exact"/>
        <w:rPr>
          <w:sz w:val="20"/>
          <w:szCs w:val="20"/>
          <w:color w:val="auto"/>
        </w:rPr>
      </w:pPr>
    </w:p>
    <w:p>
      <w:pPr>
        <w:ind w:right="160" w:firstLine="648"/>
        <w:spacing w:after="0" w:line="246" w:lineRule="auto"/>
        <w:rPr>
          <w:sz w:val="20"/>
          <w:szCs w:val="20"/>
          <w:color w:val="auto"/>
        </w:rPr>
      </w:pPr>
      <w:r>
        <w:rPr>
          <w:rFonts w:ascii="Arial" w:cs="Arial" w:eastAsia="Arial" w:hAnsi="Arial"/>
          <w:sz w:val="21"/>
          <w:szCs w:val="21"/>
          <w:color w:val="auto"/>
        </w:rPr>
        <w:t xml:space="preserve">Section 12.03 </w:t>
      </w:r>
      <w:r>
        <w:rPr>
          <w:rFonts w:ascii="Arial" w:cs="Arial" w:eastAsia="Arial" w:hAnsi="Arial"/>
          <w:sz w:val="21"/>
          <w:szCs w:val="21"/>
          <w:u w:val="single" w:color="auto"/>
          <w:color w:val="auto"/>
        </w:rPr>
        <w:t>Defeasance and Covenant Defeasance upon Deposit of Moneys or U.S. Government Obligations</w:t>
      </w:r>
      <w:r>
        <w:rPr>
          <w:rFonts w:ascii="Arial" w:cs="Arial" w:eastAsia="Arial" w:hAnsi="Arial"/>
          <w:sz w:val="21"/>
          <w:szCs w:val="21"/>
          <w:color w:val="auto"/>
        </w:rPr>
        <w:t>. At the Company’s option, either (a) the Company shall be deemed to have been Discharged (as defined below) from its obligations with respect to Securities of any series on the first day after the applicable conditions set forth below have been satisfied or (b)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at any time after the applicable conditions set forth below have been satisfied (such action under clauses (a) or (b) of this paragraph in no circumstance may be construed as an Event of Default under Section 7.01):</w:t>
      </w:r>
    </w:p>
    <w:p>
      <w:pPr>
        <w:spacing w:after="0" w:line="208" w:lineRule="exact"/>
        <w:rPr>
          <w:sz w:val="20"/>
          <w:szCs w:val="20"/>
          <w:color w:val="auto"/>
        </w:rPr>
      </w:pPr>
    </w:p>
    <w:p>
      <w:pPr>
        <w:ind w:firstLine="1305"/>
        <w:spacing w:after="0" w:line="247" w:lineRule="auto"/>
        <w:tabs>
          <w:tab w:leader="none" w:pos="2073"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Company shall have deposited or caused to be deposited irrevocably with the Trustee as trust funds in trust, specifically pledged as security for, and dedicated solely to, the benefit of the Holders of the Securities of such series (i) money in an amount, or (ii) U.S. Government Obligations (as defined below) that, through the payment of interest and principal in respect thereof in accordance with their terms, will provide, not later than one day before the due date of any payment, money in an amount, or (iii) a combination of (i) and (ii), sufficient to pay and discharge each installment of principal (including any mandatory sinking fund payments) of and premium, if any, and interest on, the Outstanding Securities of such series on the dates such installments of interest or principal and premium are due;</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05" w:name="page106"/>
    <w:bookmarkEnd w:id="105"/>
    <w:p>
      <w:pPr>
        <w:ind w:firstLine="1305"/>
        <w:spacing w:after="0" w:line="241" w:lineRule="auto"/>
        <w:tabs>
          <w:tab w:leader="none" w:pos="208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210" w:lineRule="exact"/>
        <w:rPr>
          <w:rFonts w:ascii="Arial" w:cs="Arial" w:eastAsia="Arial" w:hAnsi="Arial"/>
          <w:sz w:val="22"/>
          <w:szCs w:val="22"/>
          <w:color w:val="auto"/>
        </w:rPr>
      </w:pPr>
    </w:p>
    <w:p>
      <w:pPr>
        <w:ind w:right="80" w:firstLine="1305"/>
        <w:spacing w:after="0" w:line="279" w:lineRule="auto"/>
        <w:tabs>
          <w:tab w:leader="none" w:pos="207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spacing w:after="0" w:line="177" w:lineRule="exact"/>
        <w:rPr>
          <w:rFonts w:ascii="Arial" w:cs="Arial" w:eastAsia="Arial" w:hAnsi="Arial"/>
          <w:sz w:val="19"/>
          <w:szCs w:val="19"/>
          <w:color w:val="auto"/>
        </w:rPr>
      </w:pPr>
    </w:p>
    <w:p>
      <w:pPr>
        <w:ind w:right="100" w:firstLine="1305"/>
        <w:spacing w:after="0" w:line="279" w:lineRule="auto"/>
        <w:tabs>
          <w:tab w:leader="none" w:pos="208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spacing w:after="0" w:line="177" w:lineRule="exact"/>
        <w:rPr>
          <w:rFonts w:ascii="Arial" w:cs="Arial" w:eastAsia="Arial" w:hAnsi="Arial"/>
          <w:sz w:val="19"/>
          <w:szCs w:val="19"/>
          <w:color w:val="auto"/>
        </w:rPr>
      </w:pPr>
    </w:p>
    <w:p>
      <w:pPr>
        <w:ind w:right="300" w:firstLine="1305"/>
        <w:spacing w:after="0" w:line="251" w:lineRule="auto"/>
        <w:tabs>
          <w:tab w:leader="none" w:pos="207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to such action under this Indenture have been complied with.</w:t>
      </w:r>
    </w:p>
    <w:p>
      <w:pPr>
        <w:spacing w:after="0" w:line="200" w:lineRule="exact"/>
        <w:rPr>
          <w:sz w:val="20"/>
          <w:szCs w:val="20"/>
          <w:color w:val="auto"/>
        </w:rPr>
      </w:pPr>
    </w:p>
    <w:p>
      <w:pPr>
        <w:ind w:right="80" w:firstLine="648"/>
        <w:spacing w:after="0" w:line="247" w:lineRule="auto"/>
        <w:rPr>
          <w:sz w:val="20"/>
          <w:szCs w:val="20"/>
          <w:color w:val="auto"/>
        </w:rPr>
      </w:pPr>
      <w:r>
        <w:rPr>
          <w:rFonts w:ascii="Arial" w:cs="Arial" w:eastAsia="Arial" w:hAnsi="Arial"/>
          <w:sz w:val="21"/>
          <w:szCs w:val="21"/>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(a) above, payment of the principal of and premium, if any, and interest on such Securities when such payments are due, (B) the Company's obligations with respect to Securities of such series under Sections 3.04, 3.06, 3.07, 6.02, 12.06 and 12.07 and (C) the rights, powers, trusts, duties and immunities of the Trustee hereunder.</w:t>
      </w:r>
    </w:p>
    <w:p>
      <w:pPr>
        <w:spacing w:after="0" w:line="205" w:lineRule="exact"/>
        <w:rPr>
          <w:sz w:val="20"/>
          <w:szCs w:val="20"/>
          <w:color w:val="auto"/>
        </w:rPr>
      </w:pPr>
    </w:p>
    <w:p>
      <w:pPr>
        <w:ind w:right="120" w:firstLine="648"/>
        <w:spacing w:after="0" w:line="245" w:lineRule="auto"/>
        <w:rPr>
          <w:sz w:val="20"/>
          <w:szCs w:val="20"/>
          <w:color w:val="auto"/>
        </w:rPr>
      </w:pPr>
      <w:r>
        <w:rPr>
          <w:rFonts w:ascii="Arial" w:cs="Arial" w:eastAsia="Arial" w:hAnsi="Arial"/>
          <w:sz w:val="21"/>
          <w:szCs w:val="21"/>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ind w:firstLine="648"/>
        <w:spacing w:after="0" w:line="235" w:lineRule="auto"/>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u w:val="single" w:color="auto"/>
          <w:color w:val="auto"/>
        </w:rPr>
        <w:t>Repayment to Company</w:t>
      </w:r>
      <w:r>
        <w:rPr>
          <w:rFonts w:ascii="Arial" w:cs="Arial" w:eastAsia="Arial" w:hAnsi="Arial"/>
          <w:sz w:val="22"/>
          <w:szCs w:val="22"/>
          <w:color w:val="auto"/>
        </w:rPr>
        <w:t>. The Trustee and any Paying Agent shall promptly pay to the Company (or to its designee) upon Company Order any excess moneys or U.S. Government Obligations held by them at any time including any such moneys or obligations held by the Trustee under any escrow trust agreement entered into pursuant to Section 12.06. The provisions of the last paragraph of Section 6.03 shall apply to any money held by the Trustee or any Paying Agent under this Article that remains unclaimed for two years after the Maturity of any series of Securities for which money or U.S. Government Obligations have been deposited pursuant to Section 12.03.</w:t>
      </w:r>
    </w:p>
    <w:p>
      <w:pPr>
        <w:spacing w:after="0" w:line="216"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u w:val="single" w:color="auto"/>
          <w:color w:val="auto"/>
        </w:rPr>
        <w:t>Indemnity for U.S. Government Obligations</w:t>
      </w:r>
      <w:r>
        <w:rPr>
          <w:rFonts w:ascii="Arial" w:cs="Arial" w:eastAsia="Arial" w:hAnsi="Arial"/>
          <w:sz w:val="22"/>
          <w:szCs w:val="22"/>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213"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Section 12.06 </w:t>
      </w:r>
      <w:r>
        <w:rPr>
          <w:rFonts w:ascii="Arial" w:cs="Arial" w:eastAsia="Arial" w:hAnsi="Arial"/>
          <w:sz w:val="19"/>
          <w:szCs w:val="19"/>
          <w:u w:val="single" w:color="auto"/>
          <w:color w:val="auto"/>
        </w:rPr>
        <w:t>Deposits to Be Held in Escrow</w:t>
      </w:r>
      <w:r>
        <w:rPr>
          <w:rFonts w:ascii="Arial" w:cs="Arial" w:eastAsia="Arial" w:hAnsi="Arial"/>
          <w:sz w:val="19"/>
          <w:szCs w:val="19"/>
          <w:color w:val="auto"/>
        </w:rPr>
        <w:t>. Any deposits with the Trustee referred to in Section 12.03 above shall be irrevocable (except to the extent provided in Sections 12.04 and 12.07) and shall be made under the terms of an escrow trust agreement.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 The agreement shall provide that, upon satisfaction of any mandatory sinking fund payment requirements, whether by deposit of moneys, applications of proceeds of deposited U.S. Government Obligations or, if permitted,, by delivery of Securities, the Trustee shall pay or deliver over to the Company as excess moneys pursuant to Section 12.04 all funds or obligations then held under the agreement and allocable to the sinking fund payment requirements so satisfied.</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If Securities of a series with respect to which such deposits are made may be subject to later redemption at the option of the Company or pursuant to optional sinking fund payments, the applicable escrow trust agreement may, at the option of the Company, provide therefor. In the case of an optional redemption in whole or in part, such agreement shall require the Company to deposit with the Trustee on or before the date notice of redemption is given funds sufficient to pay the Redemption Price of the Securities to be redeemed together with all unpaid interest thereon to the Redemption Date. Upon such deposit of funds, the Trustee shall pay or deliver over to the Company as excess funds pursuant to Section 12.04 all funds or obligations then held under such agreement and allocable to the Securities to be redeemed. In the case of exercise of optional sinking fund payment rights by the Company, such agreement shall, at the option of the Company, provide that upon deposit by the Company with the Trustee of funds pursuant to such exercise the Trustee shall pay or deliver over to the Company as excess funds pursuant to Section 12.04 all funds or obligations then held under such agreement for such series and allocable to the Securities to be redeemed.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7" w:name="page108"/>
    <w:bookmarkEnd w:id="107"/>
    <w:p>
      <w:pPr>
        <w:ind w:left="660"/>
        <w:spacing w:after="0"/>
        <w:tabs>
          <w:tab w:leader="none" w:pos="2200" w:val="left"/>
        </w:tabs>
        <w:rPr>
          <w:sz w:val="20"/>
          <w:szCs w:val="20"/>
          <w:color w:val="auto"/>
        </w:rPr>
      </w:pPr>
      <w:r>
        <w:rPr>
          <w:rFonts w:ascii="Arial" w:cs="Arial" w:eastAsia="Arial" w:hAnsi="Arial"/>
          <w:sz w:val="22"/>
          <w:szCs w:val="22"/>
          <w:color w:val="auto"/>
        </w:rPr>
        <w:t>Section 12.07</w:t>
      </w:r>
      <w:r>
        <w:rPr>
          <w:sz w:val="20"/>
          <w:szCs w:val="20"/>
          <w:color w:val="auto"/>
        </w:rPr>
        <w:tab/>
      </w:r>
      <w:r>
        <w:rPr>
          <w:rFonts w:ascii="Arial" w:cs="Arial" w:eastAsia="Arial" w:hAnsi="Arial"/>
          <w:sz w:val="19"/>
          <w:szCs w:val="19"/>
          <w:u w:val="single" w:color="auto"/>
          <w:color w:val="auto"/>
        </w:rPr>
        <w:t>Application of Trust Money</w:t>
      </w:r>
      <w:r>
        <w:rPr>
          <w:rFonts w:ascii="Arial" w:cs="Arial" w:eastAsia="Arial" w:hAnsi="Arial"/>
          <w:sz w:val="19"/>
          <w:szCs w:val="19"/>
          <w:color w:val="auto"/>
        </w:rPr>
        <w:t>.</w:t>
      </w:r>
    </w:p>
    <w:p>
      <w:pPr>
        <w:spacing w:after="0" w:line="234" w:lineRule="exact"/>
        <w:rPr>
          <w:sz w:val="20"/>
          <w:szCs w:val="20"/>
          <w:color w:val="auto"/>
        </w:rPr>
      </w:pPr>
    </w:p>
    <w:p>
      <w:pPr>
        <w:ind w:firstLine="1305"/>
        <w:spacing w:after="0" w:line="275" w:lineRule="auto"/>
        <w:tabs>
          <w:tab w:leader="none" w:pos="207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Neither the Trustee nor any other Paying Agent shall be required to pay interest on any moneys deposited pursuant to the provisions of this Indenture, except such as it shall agree with the Company in writing to pay thereon. Any moneys so deposited for the payment of the principal of, or premium, if any, or interest on the Securities of any series and remaining unclaimed for two years after the date of the maturity of the Securities of such series or the date fixed for the redemption of all the Securities of such series at the time outstanding, as the case may be, shall be repaid by the Trustee or such other Paying Agent to the Company upon its written request and thereafter, anything in this Indenture to the contrary notwithstanding, any rights of the Holders of Securities of such series in respect of which such moneys shall have been deposited shall be enforceable only against the Company, and all liability of the Trustee or such other Paying Agent with respect to such moneys shall thereafter cease.</w:t>
      </w:r>
    </w:p>
    <w:p>
      <w:pPr>
        <w:spacing w:after="0" w:line="185" w:lineRule="exact"/>
        <w:rPr>
          <w:rFonts w:ascii="Arial" w:cs="Arial" w:eastAsia="Arial" w:hAnsi="Arial"/>
          <w:sz w:val="19"/>
          <w:szCs w:val="19"/>
          <w:color w:val="auto"/>
        </w:rPr>
      </w:pPr>
    </w:p>
    <w:p>
      <w:pPr>
        <w:ind w:right="80" w:firstLine="1305"/>
        <w:spacing w:after="0" w:line="287" w:lineRule="auto"/>
        <w:tabs>
          <w:tab w:leader="none" w:pos="208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Subject to the provisions of the foregoing paragraph, any moneys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w:t>
      </w:r>
    </w:p>
    <w:p>
      <w:pPr>
        <w:spacing w:after="0" w:line="170"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 xml:space="preserve">Section 12.08 </w:t>
      </w:r>
      <w:r>
        <w:rPr>
          <w:rFonts w:ascii="Arial" w:cs="Arial" w:eastAsia="Arial" w:hAnsi="Arial"/>
          <w:sz w:val="22"/>
          <w:szCs w:val="22"/>
          <w:u w:val="single" w:color="auto"/>
          <w:color w:val="auto"/>
        </w:rPr>
        <w:t>Deposits of Non-U.S. Currencies</w:t>
      </w:r>
      <w:r>
        <w:rPr>
          <w:rFonts w:ascii="Arial" w:cs="Arial" w:eastAsia="Arial" w:hAnsi="Arial"/>
          <w:sz w:val="22"/>
          <w:szCs w:val="22"/>
          <w:color w:val="auto"/>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IMMUNITY OF CERTAIN PERSONS</w:t>
      </w:r>
    </w:p>
    <w:p>
      <w:pPr>
        <w:spacing w:after="0" w:line="239"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 xml:space="preserve">Section 13.01 </w:t>
      </w:r>
      <w:r>
        <w:rPr>
          <w:rFonts w:ascii="Arial" w:cs="Arial" w:eastAsia="Arial" w:hAnsi="Arial"/>
          <w:sz w:val="19"/>
          <w:szCs w:val="19"/>
          <w:u w:val="single" w:color="auto"/>
          <w:color w:val="auto"/>
        </w:rPr>
        <w:t>No Personal Liability</w:t>
      </w:r>
      <w:r>
        <w:rPr>
          <w:rFonts w:ascii="Arial" w:cs="Arial" w:eastAsia="Arial" w:hAnsi="Arial"/>
          <w:sz w:val="19"/>
          <w:szCs w:val="19"/>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shareholder, officer or director, as such, past, present or future, of the Company or of any successor entity, either directly or through the Company or any successor entity, whether by virtue of any constitutional provision, statute or rule of law, or by the enforcement of any assessment or penalty or otherwise; it being expressly agreed and understood that this Indenture and the Securities are solely company obligations, and that no personal liability whatsoever shall attach to, or be incurred by, any incorporator, shareholder, officer or director, as such, past, present or future, of the Company or of any successor entity, either directly or through the Company or any successor entity,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shareholder, officer and director is, by the acceptance of the Securities and as a condition of, and as part of the consideration for, the execution of this Indenture and the issue of the Securities expressly waived and released.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22"/>
          <w:szCs w:val="22"/>
          <w:b w:val="1"/>
          <w:bCs w:val="1"/>
          <w:color w:val="auto"/>
        </w:rPr>
        <w:t>ARTICLE XIV</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SUPPLEMENTAL INDENTURES</w:t>
      </w:r>
    </w:p>
    <w:p>
      <w:pPr>
        <w:spacing w:after="0" w:line="23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 xml:space="preserve">Section 14.01 </w:t>
      </w:r>
      <w:r>
        <w:rPr>
          <w:rFonts w:ascii="Arial" w:cs="Arial" w:eastAsia="Arial" w:hAnsi="Arial"/>
          <w:sz w:val="19"/>
          <w:szCs w:val="19"/>
          <w:u w:val="single" w:color="auto"/>
          <w:color w:val="auto"/>
        </w:rPr>
        <w:t>Without Consent of Securityholders</w:t>
      </w:r>
      <w:r>
        <w:rPr>
          <w:rFonts w:ascii="Arial" w:cs="Arial" w:eastAsia="Arial" w:hAnsi="Arial"/>
          <w:sz w:val="19"/>
          <w:szCs w:val="19"/>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161" w:lineRule="exact"/>
        <w:rPr>
          <w:sz w:val="20"/>
          <w:szCs w:val="20"/>
          <w:color w:val="auto"/>
        </w:rPr>
      </w:pPr>
    </w:p>
    <w:p>
      <w:pPr>
        <w:ind w:firstLine="1305"/>
        <w:spacing w:after="0" w:line="235" w:lineRule="auto"/>
        <w:tabs>
          <w:tab w:leader="none" w:pos="20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215" w:lineRule="exact"/>
        <w:rPr>
          <w:rFonts w:ascii="Arial" w:cs="Arial" w:eastAsia="Arial" w:hAnsi="Arial"/>
          <w:sz w:val="22"/>
          <w:szCs w:val="22"/>
          <w:color w:val="auto"/>
        </w:rPr>
      </w:pPr>
    </w:p>
    <w:p>
      <w:pPr>
        <w:ind w:right="140" w:firstLine="1305"/>
        <w:spacing w:after="0" w:line="287" w:lineRule="auto"/>
        <w:tabs>
          <w:tab w:leader="none" w:pos="208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to delete or modify any Events of Default with respect to all or any series of the Securities, the form and terms of which are being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170" w:lineRule="exact"/>
        <w:rPr>
          <w:rFonts w:ascii="Arial" w:cs="Arial" w:eastAsia="Arial" w:hAnsi="Arial"/>
          <w:sz w:val="19"/>
          <w:szCs w:val="19"/>
          <w:color w:val="auto"/>
        </w:rPr>
      </w:pPr>
    </w:p>
    <w:p>
      <w:pPr>
        <w:ind w:right="160" w:firstLine="1305"/>
        <w:spacing w:after="0"/>
        <w:tabs>
          <w:tab w:leader="none" w:pos="20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to add to or change any of the provisions of this Indenture to provide, change or eliminate any restrictions on the payment of principal of or premium, if any, on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action shall not adversely affect the interests of the Holders of Securities of any series in any material respect;</w:t>
      </w:r>
    </w:p>
    <w:p>
      <w:pPr>
        <w:spacing w:after="0" w:line="213" w:lineRule="exact"/>
        <w:rPr>
          <w:rFonts w:ascii="Arial" w:cs="Arial" w:eastAsia="Arial" w:hAnsi="Arial"/>
          <w:sz w:val="22"/>
          <w:szCs w:val="22"/>
          <w:color w:val="auto"/>
        </w:rPr>
      </w:pPr>
    </w:p>
    <w:p>
      <w:pPr>
        <w:jc w:val="both"/>
        <w:ind w:firstLine="1305"/>
        <w:spacing w:after="0" w:line="297" w:lineRule="auto"/>
        <w:tabs>
          <w:tab w:leader="none" w:pos="208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to change or eliminate any of the provisions of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61" w:lineRule="exact"/>
        <w:rPr>
          <w:rFonts w:ascii="Arial" w:cs="Arial" w:eastAsia="Arial" w:hAnsi="Arial"/>
          <w:sz w:val="19"/>
          <w:szCs w:val="19"/>
          <w:color w:val="auto"/>
        </w:rPr>
      </w:pPr>
    </w:p>
    <w:p>
      <w:pPr>
        <w:ind w:right="20" w:firstLine="1305"/>
        <w:spacing w:after="0"/>
        <w:tabs>
          <w:tab w:leader="none" w:pos="20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spacing w:after="0" w:line="213" w:lineRule="exact"/>
        <w:rPr>
          <w:rFonts w:ascii="Arial" w:cs="Arial" w:eastAsia="Arial" w:hAnsi="Arial"/>
          <w:sz w:val="22"/>
          <w:szCs w:val="22"/>
          <w:color w:val="auto"/>
        </w:rPr>
      </w:pPr>
    </w:p>
    <w:p>
      <w:pPr>
        <w:jc w:val="both"/>
        <w:ind w:right="20" w:firstLine="1305"/>
        <w:spacing w:after="0" w:line="297" w:lineRule="auto"/>
        <w:tabs>
          <w:tab w:leader="none" w:pos="205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109" w:name="page110"/>
    <w:bookmarkEnd w:id="109"/>
    <w:p>
      <w:pPr>
        <w:ind w:left="2100" w:hanging="795"/>
        <w:spacing w:after="0"/>
        <w:tabs>
          <w:tab w:leader="none" w:pos="21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secure any series of Securities;</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to evidence any changes to this Indenture pursuant to Sections 11.05, 11.06 or 11.07 hereof as permitted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terms thereof;</w:t>
      </w:r>
    </w:p>
    <w:p>
      <w:pPr>
        <w:spacing w:after="0" w:line="215" w:lineRule="exact"/>
        <w:rPr>
          <w:rFonts w:ascii="Arial" w:cs="Arial" w:eastAsia="Arial" w:hAnsi="Arial"/>
          <w:sz w:val="19"/>
          <w:szCs w:val="19"/>
          <w:color w:val="auto"/>
        </w:rPr>
      </w:pPr>
    </w:p>
    <w:p>
      <w:pPr>
        <w:ind w:firstLine="1305"/>
        <w:spacing w:after="0" w:line="282" w:lineRule="auto"/>
        <w:tabs>
          <w:tab w:leader="none" w:pos="204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to cure any mistake,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prospectus supplement or other offering document applicable to such Securities at the time of initial sale thereof, as provided in an Officer’s Certificate;</w:t>
      </w:r>
    </w:p>
    <w:p>
      <w:pPr>
        <w:spacing w:after="0" w:line="174" w:lineRule="exact"/>
        <w:rPr>
          <w:rFonts w:ascii="Arial" w:cs="Arial" w:eastAsia="Arial" w:hAnsi="Arial"/>
          <w:sz w:val="19"/>
          <w:szCs w:val="19"/>
          <w:color w:val="auto"/>
        </w:rPr>
      </w:pPr>
    </w:p>
    <w:p>
      <w:pPr>
        <w:ind w:right="700" w:firstLine="1305"/>
        <w:spacing w:after="0" w:line="251" w:lineRule="auto"/>
        <w:tabs>
          <w:tab w:leader="none" w:pos="204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add to or change or eliminate any provision of this Indenture as shall be necessary or desirable in accordance with any amendments to the Trust Indenture Act;</w:t>
      </w:r>
    </w:p>
    <w:p>
      <w:pPr>
        <w:spacing w:after="0" w:line="200" w:lineRule="exact"/>
        <w:rPr>
          <w:rFonts w:ascii="Arial" w:cs="Arial" w:eastAsia="Arial" w:hAnsi="Arial"/>
          <w:sz w:val="22"/>
          <w:szCs w:val="22"/>
          <w:color w:val="auto"/>
        </w:rPr>
      </w:pPr>
    </w:p>
    <w:p>
      <w:pPr>
        <w:ind w:right="120" w:firstLine="1305"/>
        <w:spacing w:after="0" w:line="251" w:lineRule="auto"/>
        <w:tabs>
          <w:tab w:leader="none" w:pos="208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add guarantors or co-obligors with respect to any series of Securities or to release guarantors from their guarantees of Securities in accordance with the terms of the applicable series of Securities;</w:t>
      </w:r>
    </w:p>
    <w:p>
      <w:pPr>
        <w:spacing w:after="0" w:line="200" w:lineRule="exact"/>
        <w:rPr>
          <w:rFonts w:ascii="Arial" w:cs="Arial" w:eastAsia="Arial" w:hAnsi="Arial"/>
          <w:sz w:val="22"/>
          <w:szCs w:val="22"/>
          <w:color w:val="auto"/>
        </w:rPr>
      </w:pPr>
    </w:p>
    <w:p>
      <w:pPr>
        <w:ind w:right="340" w:firstLine="1305"/>
        <w:spacing w:after="0" w:line="251" w:lineRule="auto"/>
        <w:tabs>
          <w:tab w:leader="none" w:pos="209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make any change in any series of Securities that does not adversely affect in any material respect the rights of the Holders of such Securities;</w:t>
      </w:r>
    </w:p>
    <w:p>
      <w:pPr>
        <w:spacing w:after="0" w:line="200" w:lineRule="exact"/>
        <w:rPr>
          <w:rFonts w:ascii="Arial" w:cs="Arial" w:eastAsia="Arial" w:hAnsi="Arial"/>
          <w:sz w:val="22"/>
          <w:szCs w:val="22"/>
          <w:color w:val="auto"/>
        </w:rPr>
      </w:pPr>
    </w:p>
    <w:p>
      <w:pPr>
        <w:ind w:left="2100" w:hanging="795"/>
        <w:spacing w:after="0"/>
        <w:tabs>
          <w:tab w:leader="none" w:pos="21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provide for uncertificated securities in addition to certificated securities;</w:t>
      </w:r>
    </w:p>
    <w:p>
      <w:pPr>
        <w:spacing w:after="0" w:line="233" w:lineRule="exact"/>
        <w:rPr>
          <w:rFonts w:ascii="Arial" w:cs="Arial" w:eastAsia="Arial" w:hAnsi="Arial"/>
          <w:sz w:val="22"/>
          <w:szCs w:val="22"/>
          <w:color w:val="auto"/>
        </w:rPr>
      </w:pPr>
    </w:p>
    <w:p>
      <w:pPr>
        <w:jc w:val="both"/>
        <w:ind w:right="520" w:firstLine="1305"/>
        <w:spacing w:after="0" w:line="297" w:lineRule="auto"/>
        <w:tabs>
          <w:tab w:leader="none" w:pos="208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to supplement any of the provisions of this Indenture to such extent as shall be necessary to permit or facilitate the defeasance and discharge of any series of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action shall not adversely affect the interests of the Holders of Securities of such series or any other series of Securities in any material respect;</w:t>
      </w:r>
    </w:p>
    <w:p>
      <w:pPr>
        <w:spacing w:after="0" w:line="161" w:lineRule="exact"/>
        <w:rPr>
          <w:rFonts w:ascii="Arial" w:cs="Arial" w:eastAsia="Arial" w:hAnsi="Arial"/>
          <w:sz w:val="19"/>
          <w:szCs w:val="19"/>
          <w:color w:val="auto"/>
        </w:rPr>
      </w:pPr>
    </w:p>
    <w:p>
      <w:pPr>
        <w:ind w:left="2100" w:hanging="795"/>
        <w:spacing w:after="0"/>
        <w:tabs>
          <w:tab w:leader="none" w:pos="21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prohibit the authentication and delivery of additional series of Securities; or</w:t>
      </w:r>
    </w:p>
    <w:p>
      <w:pPr>
        <w:spacing w:after="0" w:line="233" w:lineRule="exact"/>
        <w:rPr>
          <w:rFonts w:ascii="Arial" w:cs="Arial" w:eastAsia="Arial" w:hAnsi="Arial"/>
          <w:sz w:val="22"/>
          <w:szCs w:val="22"/>
          <w:color w:val="auto"/>
        </w:rPr>
      </w:pPr>
    </w:p>
    <w:p>
      <w:pPr>
        <w:ind w:firstLine="1305"/>
        <w:spacing w:after="0" w:line="238" w:lineRule="auto"/>
        <w:tabs>
          <w:tab w:leader="none" w:pos="208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212" w:lineRule="exact"/>
        <w:rPr>
          <w:sz w:val="20"/>
          <w:szCs w:val="20"/>
          <w:color w:val="auto"/>
        </w:rPr>
      </w:pPr>
    </w:p>
    <w:p>
      <w:pPr>
        <w:jc w:val="both"/>
        <w:ind w:right="760"/>
        <w:spacing w:after="0" w:line="297" w:lineRule="auto"/>
        <w:rPr>
          <w:sz w:val="20"/>
          <w:szCs w:val="20"/>
          <w:color w:val="auto"/>
        </w:rPr>
      </w:pPr>
      <w:r>
        <w:rPr>
          <w:rFonts w:ascii="Arial" w:cs="Arial" w:eastAsia="Arial" w:hAnsi="Arial"/>
          <w:sz w:val="19"/>
          <w:szCs w:val="19"/>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6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Any supplemental indenture authorized by the provisions of this Section 14.01 may be executed by the Company and the Trustee without the consent of the Holders of any of the Securities at the time Outstanding.</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0" w:name="page111"/>
    <w:bookmarkEnd w:id="110"/>
    <w:p>
      <w:pPr>
        <w:ind w:left="600"/>
        <w:spacing w:after="0"/>
        <w:tabs>
          <w:tab w:leader="none" w:pos="2140" w:val="left"/>
        </w:tabs>
        <w:rPr>
          <w:sz w:val="20"/>
          <w:szCs w:val="20"/>
          <w:color w:val="auto"/>
        </w:rPr>
      </w:pPr>
      <w:r>
        <w:rPr>
          <w:rFonts w:ascii="Arial" w:cs="Arial" w:eastAsia="Arial" w:hAnsi="Arial"/>
          <w:sz w:val="22"/>
          <w:szCs w:val="22"/>
          <w:color w:val="auto"/>
        </w:rPr>
        <w:t>Section 14.02</w:t>
      </w:r>
      <w:r>
        <w:rPr>
          <w:sz w:val="20"/>
          <w:szCs w:val="20"/>
          <w:color w:val="auto"/>
        </w:rPr>
        <w:tab/>
      </w:r>
      <w:r>
        <w:rPr>
          <w:rFonts w:ascii="Arial" w:cs="Arial" w:eastAsia="Arial" w:hAnsi="Arial"/>
          <w:sz w:val="19"/>
          <w:szCs w:val="19"/>
          <w:u w:val="single" w:color="auto"/>
          <w:color w:val="auto"/>
        </w:rPr>
        <w:t>With Consent of Securityholders; Limitations</w:t>
      </w:r>
      <w:r>
        <w:rPr>
          <w:rFonts w:ascii="Arial" w:cs="Arial" w:eastAsia="Arial" w:hAnsi="Arial"/>
          <w:sz w:val="19"/>
          <w:szCs w:val="19"/>
          <w:color w:val="auto"/>
        </w:rPr>
        <w:t>.</w:t>
      </w:r>
    </w:p>
    <w:p>
      <w:pPr>
        <w:spacing w:after="0" w:line="234" w:lineRule="exact"/>
        <w:rPr>
          <w:sz w:val="20"/>
          <w:szCs w:val="20"/>
          <w:color w:val="auto"/>
        </w:rPr>
      </w:pPr>
    </w:p>
    <w:p>
      <w:pPr>
        <w:ind w:left="-60" w:firstLine="1305"/>
        <w:spacing w:after="0" w:line="279" w:lineRule="auto"/>
        <w:tabs>
          <w:tab w:leader="none" w:pos="201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supplemental indenture shall, without the consent of the Holder of each Outstanding Security of each such series affected thereby,</w:t>
      </w:r>
    </w:p>
    <w:p>
      <w:pPr>
        <w:spacing w:after="0" w:line="177" w:lineRule="exact"/>
        <w:rPr>
          <w:rFonts w:ascii="Arial" w:cs="Arial" w:eastAsia="Arial" w:hAnsi="Arial"/>
          <w:sz w:val="19"/>
          <w:szCs w:val="19"/>
          <w:color w:val="auto"/>
        </w:rPr>
      </w:pPr>
    </w:p>
    <w:p>
      <w:pPr>
        <w:ind w:left="600" w:firstLine="1293"/>
        <w:spacing w:after="0" w:line="246" w:lineRule="auto"/>
        <w:tabs>
          <w:tab w:leader="none" w:pos="2695" w:val="left"/>
        </w:tabs>
        <w:numPr>
          <w:ilvl w:val="1"/>
          <w:numId w:val="116"/>
        </w:numPr>
        <w:rPr>
          <w:rFonts w:ascii="Arial" w:cs="Arial" w:eastAsia="Arial" w:hAnsi="Arial"/>
          <w:sz w:val="21"/>
          <w:szCs w:val="21"/>
          <w:color w:val="auto"/>
        </w:rPr>
      </w:pPr>
      <w:r>
        <w:rPr>
          <w:rFonts w:ascii="Arial" w:cs="Arial" w:eastAsia="Arial" w:hAnsi="Arial"/>
          <w:sz w:val="21"/>
          <w:szCs w:val="21"/>
          <w:color w:val="auto"/>
        </w:rPr>
        <w:t>extend the Stated Maturity of the principal of, or any installment of interest on, any Security, or reduce the principal amount thereof or the interest thereon or any premium payable upon redemption thereof,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207" w:lineRule="exact"/>
        <w:rPr>
          <w:rFonts w:ascii="Arial" w:cs="Arial" w:eastAsia="Arial" w:hAnsi="Arial"/>
          <w:sz w:val="21"/>
          <w:szCs w:val="21"/>
          <w:color w:val="auto"/>
        </w:rPr>
      </w:pPr>
    </w:p>
    <w:p>
      <w:pPr>
        <w:ind w:left="600" w:right="40" w:firstLine="1293"/>
        <w:spacing w:after="0" w:line="238" w:lineRule="auto"/>
        <w:tabs>
          <w:tab w:leader="none" w:pos="2701" w:val="left"/>
        </w:tabs>
        <w:numPr>
          <w:ilvl w:val="1"/>
          <w:numId w:val="116"/>
        </w:numPr>
        <w:rPr>
          <w:rFonts w:ascii="Arial" w:cs="Arial" w:eastAsia="Arial" w:hAnsi="Arial"/>
          <w:sz w:val="22"/>
          <w:szCs w:val="22"/>
          <w:color w:val="auto"/>
        </w:rPr>
      </w:pPr>
      <w:r>
        <w:rPr>
          <w:rFonts w:ascii="Arial" w:cs="Arial" w:eastAsia="Arial" w:hAnsi="Arial"/>
          <w:sz w:val="22"/>
          <w:szCs w:val="22"/>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212" w:lineRule="exact"/>
        <w:rPr>
          <w:rFonts w:ascii="Arial" w:cs="Arial" w:eastAsia="Arial" w:hAnsi="Arial"/>
          <w:sz w:val="22"/>
          <w:szCs w:val="22"/>
          <w:color w:val="auto"/>
        </w:rPr>
      </w:pPr>
    </w:p>
    <w:p>
      <w:pPr>
        <w:ind w:left="600" w:right="220" w:firstLine="1293"/>
        <w:spacing w:after="0" w:line="235" w:lineRule="auto"/>
        <w:tabs>
          <w:tab w:leader="none" w:pos="2707" w:val="left"/>
        </w:tabs>
        <w:numPr>
          <w:ilvl w:val="1"/>
          <w:numId w:val="116"/>
        </w:numPr>
        <w:rPr>
          <w:rFonts w:ascii="Arial" w:cs="Arial" w:eastAsia="Arial" w:hAnsi="Arial"/>
          <w:sz w:val="22"/>
          <w:szCs w:val="22"/>
          <w:color w:val="auto"/>
        </w:rPr>
      </w:pPr>
      <w:r>
        <w:rPr>
          <w:rFonts w:ascii="Arial" w:cs="Arial" w:eastAsia="Arial" w:hAnsi="Arial"/>
          <w:sz w:val="22"/>
          <w:szCs w:val="22"/>
          <w:color w:val="auto"/>
        </w:rPr>
        <w:t xml:space="preserve">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spacing w:after="0" w:line="215" w:lineRule="exact"/>
        <w:rPr>
          <w:rFonts w:ascii="Arial" w:cs="Arial" w:eastAsia="Arial" w:hAnsi="Arial"/>
          <w:sz w:val="22"/>
          <w:szCs w:val="22"/>
          <w:color w:val="auto"/>
        </w:rPr>
      </w:pPr>
    </w:p>
    <w:p>
      <w:pPr>
        <w:ind w:left="2700" w:hanging="807"/>
        <w:spacing w:after="0"/>
        <w:tabs>
          <w:tab w:leader="none" w:pos="27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change the Company’s obligation to pay additional amounts; or</w:t>
      </w:r>
    </w:p>
    <w:p>
      <w:pPr>
        <w:spacing w:after="0" w:line="233" w:lineRule="exact"/>
        <w:rPr>
          <w:rFonts w:ascii="Arial" w:cs="Arial" w:eastAsia="Arial" w:hAnsi="Arial"/>
          <w:sz w:val="22"/>
          <w:szCs w:val="22"/>
          <w:color w:val="auto"/>
        </w:rPr>
      </w:pPr>
    </w:p>
    <w:p>
      <w:pPr>
        <w:ind w:left="2680" w:hanging="787"/>
        <w:spacing w:after="0"/>
        <w:tabs>
          <w:tab w:leader="none" w:pos="268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modify, without the written consent of the Trustee, the rights, duties or immunities of the Trustee.</w:t>
      </w:r>
    </w:p>
    <w:p>
      <w:pPr>
        <w:spacing w:after="0" w:line="267" w:lineRule="exact"/>
        <w:rPr>
          <w:rFonts w:ascii="Arial" w:cs="Arial" w:eastAsia="Arial" w:hAnsi="Arial"/>
          <w:sz w:val="19"/>
          <w:szCs w:val="19"/>
          <w:color w:val="auto"/>
        </w:rPr>
      </w:pPr>
    </w:p>
    <w:p>
      <w:pPr>
        <w:ind w:left="-60" w:right="220" w:firstLine="1305"/>
        <w:spacing w:after="0" w:line="238" w:lineRule="auto"/>
        <w:tabs>
          <w:tab w:leader="none" w:pos="201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11" w:name="page112"/>
    <w:bookmarkEnd w:id="111"/>
    <w:p>
      <w:pPr>
        <w:ind w:right="520" w:firstLine="1305"/>
        <w:spacing w:after="0" w:line="241" w:lineRule="auto"/>
        <w:tabs>
          <w:tab w:leader="none" w:pos="207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210" w:lineRule="exact"/>
        <w:rPr>
          <w:rFonts w:ascii="Arial" w:cs="Arial" w:eastAsia="Arial" w:hAnsi="Arial"/>
          <w:sz w:val="22"/>
          <w:szCs w:val="22"/>
          <w:color w:val="auto"/>
        </w:rPr>
      </w:pPr>
    </w:p>
    <w:p>
      <w:pPr>
        <w:ind w:right="200" w:firstLine="1305"/>
        <w:spacing w:after="0" w:line="287" w:lineRule="auto"/>
        <w:tabs>
          <w:tab w:leader="none" w:pos="208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70" w:lineRule="exact"/>
        <w:rPr>
          <w:rFonts w:ascii="Arial" w:cs="Arial" w:eastAsia="Arial" w:hAnsi="Arial"/>
          <w:sz w:val="19"/>
          <w:szCs w:val="19"/>
          <w:color w:val="auto"/>
        </w:rPr>
      </w:pPr>
    </w:p>
    <w:p>
      <w:pPr>
        <w:ind w:firstLine="1305"/>
        <w:spacing w:after="0" w:line="236" w:lineRule="auto"/>
        <w:tabs>
          <w:tab w:leader="none" w:pos="207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215"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14.03 </w:t>
      </w:r>
      <w:r>
        <w:rPr>
          <w:rFonts w:ascii="Arial" w:cs="Arial" w:eastAsia="Arial" w:hAnsi="Arial"/>
          <w:sz w:val="19"/>
          <w:szCs w:val="19"/>
          <w:u w:val="single" w:color="auto"/>
          <w:color w:val="auto"/>
        </w:rPr>
        <w:t>Trustee Protected</w:t>
      </w:r>
      <w:r>
        <w:rPr>
          <w:rFonts w:ascii="Arial" w:cs="Arial" w:eastAsia="Arial" w:hAnsi="Arial"/>
          <w:sz w:val="19"/>
          <w:szCs w:val="19"/>
          <w:color w:val="auto"/>
        </w:rPr>
        <w:t>. Upon the written request of the Company, accompanied by the Officer’s Certificate and Opinion of Counsel required by Section 16.01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In executing, or accepting the additional trusts created by, any supplemental indenture permitted by this Article or the modification thereby of the trusts created by this Indenture, the Trustee shall receive, and shall be fully protected in relying upon, an Officer’s Certificate and an Opinion of Counsel stating that the execution of such supplemental indenture is authorized or permitted by this Indenture and that such supplemental indenture is valid and binding obligation of the Company, enforceable against the Company in accordance with its terms.</w:t>
      </w:r>
    </w:p>
    <w:p>
      <w:pPr>
        <w:spacing w:after="0" w:line="189" w:lineRule="exact"/>
        <w:rPr>
          <w:sz w:val="20"/>
          <w:szCs w:val="20"/>
          <w:color w:val="auto"/>
        </w:rPr>
      </w:pPr>
    </w:p>
    <w:p>
      <w:pPr>
        <w:ind w:right="120" w:firstLine="648"/>
        <w:spacing w:after="0" w:line="247" w:lineRule="auto"/>
        <w:rPr>
          <w:sz w:val="20"/>
          <w:szCs w:val="20"/>
          <w:color w:val="auto"/>
        </w:rPr>
      </w:pPr>
      <w:r>
        <w:rPr>
          <w:rFonts w:ascii="Arial" w:cs="Arial" w:eastAsia="Arial" w:hAnsi="Arial"/>
          <w:sz w:val="21"/>
          <w:szCs w:val="21"/>
          <w:color w:val="auto"/>
        </w:rPr>
        <w:t xml:space="preserve">Section 14.04 </w:t>
      </w:r>
      <w:r>
        <w:rPr>
          <w:rFonts w:ascii="Arial" w:cs="Arial" w:eastAsia="Arial" w:hAnsi="Arial"/>
          <w:sz w:val="21"/>
          <w:szCs w:val="21"/>
          <w:u w:val="single" w:color="auto"/>
          <w:color w:val="auto"/>
        </w:rPr>
        <w:t>Effect of Execution of Supplemental Indenture</w:t>
      </w:r>
      <w:r>
        <w:rPr>
          <w:rFonts w:ascii="Arial" w:cs="Arial" w:eastAsia="Arial" w:hAnsi="Arial"/>
          <w:sz w:val="21"/>
          <w:szCs w:val="21"/>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ind w:right="100" w:firstLine="648"/>
        <w:spacing w:after="0" w:line="277" w:lineRule="auto"/>
        <w:rPr>
          <w:sz w:val="20"/>
          <w:szCs w:val="20"/>
          <w:color w:val="auto"/>
        </w:rPr>
      </w:pPr>
      <w:r>
        <w:rPr>
          <w:rFonts w:ascii="Arial" w:cs="Arial" w:eastAsia="Arial" w:hAnsi="Arial"/>
          <w:sz w:val="19"/>
          <w:szCs w:val="19"/>
          <w:color w:val="auto"/>
        </w:rPr>
        <w:t xml:space="preserve">Section 14.05 </w:t>
      </w:r>
      <w:r>
        <w:rPr>
          <w:rFonts w:ascii="Arial" w:cs="Arial" w:eastAsia="Arial" w:hAnsi="Arial"/>
          <w:sz w:val="19"/>
          <w:szCs w:val="19"/>
          <w:u w:val="single" w:color="auto"/>
          <w:color w:val="auto"/>
        </w:rPr>
        <w:t>Notation on or Exchange of Securities</w:t>
      </w:r>
      <w:r>
        <w:rPr>
          <w:rFonts w:ascii="Arial" w:cs="Arial" w:eastAsia="Arial" w:hAnsi="Arial"/>
          <w:sz w:val="19"/>
          <w:szCs w:val="19"/>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80"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 xml:space="preserve">Section 14.06 </w:t>
      </w:r>
      <w:r>
        <w:rPr>
          <w:rFonts w:ascii="Arial" w:cs="Arial" w:eastAsia="Arial" w:hAnsi="Arial"/>
          <w:sz w:val="22"/>
          <w:szCs w:val="22"/>
          <w:u w:val="single" w:color="auto"/>
          <w:color w:val="auto"/>
        </w:rPr>
        <w:t>Conformity with TIA</w:t>
      </w:r>
      <w:r>
        <w:rPr>
          <w:rFonts w:ascii="Arial" w:cs="Arial" w:eastAsia="Arial" w:hAnsi="Arial"/>
          <w:sz w:val="22"/>
          <w:szCs w:val="22"/>
          <w:color w:val="auto"/>
        </w:rPr>
        <w:t>. Every supplemental indenture executed pursuant to the provisions of this Article shall conform to the requirements of the Trust Indenture Act as then in effect.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SUBORDINATION OF SECURITIES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15.01 </w:t>
      </w:r>
      <w:r>
        <w:rPr>
          <w:rFonts w:ascii="Arial" w:cs="Arial" w:eastAsia="Arial" w:hAnsi="Arial"/>
          <w:sz w:val="19"/>
          <w:szCs w:val="19"/>
          <w:u w:val="single" w:color="auto"/>
          <w:color w:val="auto"/>
        </w:rPr>
        <w:t>Agreement to Subordinate</w:t>
      </w:r>
      <w:r>
        <w:rPr>
          <w:rFonts w:ascii="Arial" w:cs="Arial" w:eastAsia="Arial" w:hAnsi="Arial"/>
          <w:sz w:val="19"/>
          <w:szCs w:val="19"/>
          <w:color w:val="auto"/>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3.01(s), this Article XV shall have no effect upon the Securities.</w:t>
      </w:r>
    </w:p>
    <w:p>
      <w:pPr>
        <w:spacing w:after="0" w:line="180" w:lineRule="exact"/>
        <w:rPr>
          <w:sz w:val="20"/>
          <w:szCs w:val="20"/>
          <w:color w:val="auto"/>
        </w:rPr>
      </w:pPr>
    </w:p>
    <w:p>
      <w:pPr>
        <w:ind w:right="120" w:firstLine="648"/>
        <w:spacing w:after="0" w:line="234" w:lineRule="auto"/>
        <w:rPr>
          <w:sz w:val="20"/>
          <w:szCs w:val="20"/>
          <w:color w:val="auto"/>
        </w:rPr>
      </w:pPr>
      <w:r>
        <w:rPr>
          <w:rFonts w:ascii="Arial" w:cs="Arial" w:eastAsia="Arial" w:hAnsi="Arial"/>
          <w:sz w:val="22"/>
          <w:szCs w:val="22"/>
          <w:color w:val="auto"/>
        </w:rPr>
        <w:t xml:space="preserve">Section 15.02 </w:t>
      </w:r>
      <w:r>
        <w:rPr>
          <w:rFonts w:ascii="Arial" w:cs="Arial" w:eastAsia="Arial" w:hAnsi="Arial"/>
          <w:sz w:val="22"/>
          <w:szCs w:val="22"/>
          <w:u w:val="single" w:color="auto"/>
          <w:color w:val="auto"/>
        </w:rPr>
        <w:t>Distribution on Dissolution, Liquidation and Reorganization; Subrogation of Securities</w:t>
      </w:r>
      <w:r>
        <w:rPr>
          <w:rFonts w:ascii="Arial" w:cs="Arial" w:eastAsia="Arial" w:hAnsi="Arial"/>
          <w:sz w:val="22"/>
          <w:szCs w:val="22"/>
          <w:color w:val="auto"/>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218" w:lineRule="exact"/>
        <w:rPr>
          <w:sz w:val="20"/>
          <w:szCs w:val="20"/>
          <w:color w:val="auto"/>
        </w:rPr>
      </w:pPr>
    </w:p>
    <w:p>
      <w:pPr>
        <w:jc w:val="both"/>
        <w:ind w:right="340" w:firstLine="1305"/>
        <w:spacing w:after="0" w:line="258" w:lineRule="auto"/>
        <w:tabs>
          <w:tab w:leader="none" w:pos="2077"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spacing w:after="0" w:line="193" w:lineRule="exact"/>
        <w:rPr>
          <w:rFonts w:ascii="Arial" w:cs="Arial" w:eastAsia="Arial" w:hAnsi="Arial"/>
          <w:sz w:val="21"/>
          <w:szCs w:val="21"/>
          <w:color w:val="auto"/>
        </w:rPr>
      </w:pPr>
    </w:p>
    <w:p>
      <w:pPr>
        <w:ind w:right="40" w:firstLine="1305"/>
        <w:spacing w:after="0" w:line="245" w:lineRule="auto"/>
        <w:tabs>
          <w:tab w:leader="none" w:pos="208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ind w:left="-40" w:firstLine="1305"/>
        <w:spacing w:after="0" w:line="246" w:lineRule="auto"/>
        <w:tabs>
          <w:tab w:leader="none" w:pos="2037" w:val="left"/>
        </w:tabs>
        <w:numPr>
          <w:ilvl w:val="0"/>
          <w:numId w:val="119"/>
        </w:numPr>
        <w:rPr>
          <w:rFonts w:ascii="Arial" w:cs="Arial" w:eastAsia="Arial" w:hAnsi="Arial"/>
          <w:sz w:val="21"/>
          <w:szCs w:val="21"/>
          <w:color w:val="auto"/>
        </w:rPr>
      </w:pPr>
      <w:r>
        <w:rPr>
          <w:rFonts w:ascii="Arial" w:cs="Arial" w:eastAsia="Arial" w:hAnsi="Arial"/>
          <w:sz w:val="21"/>
          <w:szCs w:val="21"/>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208" w:lineRule="exact"/>
        <w:rPr>
          <w:rFonts w:ascii="Arial" w:cs="Arial" w:eastAsia="Arial" w:hAnsi="Arial"/>
          <w:sz w:val="21"/>
          <w:szCs w:val="21"/>
          <w:color w:val="auto"/>
        </w:rPr>
      </w:pPr>
    </w:p>
    <w:p>
      <w:pPr>
        <w:ind w:left="-40" w:firstLine="1305"/>
        <w:spacing w:after="0" w:line="270" w:lineRule="auto"/>
        <w:tabs>
          <w:tab w:leader="none" w:pos="204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15.05,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18" w:right="259" w:bottom="1440" w:gutter="0" w:footer="0" w:header="0"/>
        </w:sectPr>
      </w:pPr>
    </w:p>
    <w:bookmarkStart w:id="114" w:name="page115"/>
    <w:bookmarkEnd w:id="114"/>
    <w:p>
      <w:pPr>
        <w:ind w:right="20" w:firstLine="648"/>
        <w:spacing w:after="0" w:line="279" w:lineRule="auto"/>
        <w:rPr>
          <w:sz w:val="20"/>
          <w:szCs w:val="20"/>
          <w:color w:val="auto"/>
        </w:rPr>
      </w:pPr>
      <w:r>
        <w:rPr>
          <w:rFonts w:ascii="Arial" w:cs="Arial" w:eastAsia="Arial" w:hAnsi="Arial"/>
          <w:sz w:val="19"/>
          <w:szCs w:val="19"/>
          <w:color w:val="auto"/>
        </w:rPr>
        <w:t xml:space="preserve">Section 15.03 </w:t>
      </w:r>
      <w:r>
        <w:rPr>
          <w:rFonts w:ascii="Arial" w:cs="Arial" w:eastAsia="Arial" w:hAnsi="Arial"/>
          <w:sz w:val="19"/>
          <w:szCs w:val="19"/>
          <w:u w:val="single" w:color="auto"/>
          <w:color w:val="auto"/>
        </w:rPr>
        <w:t>No Payment on Securities in Event of Default on Senior Indebtedness</w:t>
      </w:r>
      <w:r>
        <w:rPr>
          <w:rFonts w:ascii="Arial" w:cs="Arial" w:eastAsia="Arial" w:hAnsi="Arial"/>
          <w:sz w:val="19"/>
          <w:szCs w:val="19"/>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78"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215"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15.04 </w:t>
      </w:r>
      <w:r>
        <w:rPr>
          <w:rFonts w:ascii="Arial" w:cs="Arial" w:eastAsia="Arial" w:hAnsi="Arial"/>
          <w:sz w:val="21"/>
          <w:szCs w:val="21"/>
          <w:u w:val="single" w:color="auto"/>
          <w:color w:val="auto"/>
        </w:rPr>
        <w:t>Payments on Securities Permitted</w:t>
      </w:r>
      <w:r>
        <w:rPr>
          <w:rFonts w:ascii="Arial" w:cs="Arial" w:eastAsia="Arial" w:hAnsi="Arial"/>
          <w:sz w:val="21"/>
          <w:szCs w:val="21"/>
          <w:color w:val="auto"/>
        </w:rPr>
        <w:t>. Subject to Section 15.01, nothing contained in this Indenture or in any of the Securities shall (a) 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21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 xml:space="preserve">Section 15.05 </w:t>
      </w:r>
      <w:r>
        <w:rPr>
          <w:rFonts w:ascii="Arial" w:cs="Arial" w:eastAsia="Arial" w:hAnsi="Arial"/>
          <w:sz w:val="22"/>
          <w:szCs w:val="22"/>
          <w:u w:val="single" w:color="auto"/>
          <w:color w:val="auto"/>
        </w:rPr>
        <w:t>Authorization of Securityholders to Trustee to Effect Subordination</w:t>
      </w:r>
      <w:r>
        <w:rPr>
          <w:rFonts w:ascii="Arial" w:cs="Arial" w:eastAsia="Arial" w:hAnsi="Arial"/>
          <w:sz w:val="22"/>
          <w:szCs w:val="22"/>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5" w:name="page116"/>
    <w:bookmarkEnd w:id="115"/>
    <w:p>
      <w:pPr>
        <w:ind w:firstLine="648"/>
        <w:spacing w:after="0" w:line="269" w:lineRule="auto"/>
        <w:rPr>
          <w:sz w:val="20"/>
          <w:szCs w:val="20"/>
          <w:color w:val="auto"/>
        </w:rPr>
      </w:pPr>
      <w:r>
        <w:rPr>
          <w:rFonts w:ascii="Arial" w:cs="Arial" w:eastAsia="Arial" w:hAnsi="Arial"/>
          <w:sz w:val="19"/>
          <w:szCs w:val="19"/>
          <w:color w:val="auto"/>
        </w:rPr>
        <w:t xml:space="preserve">Section 15.06 </w:t>
      </w:r>
      <w:r>
        <w:rPr>
          <w:rFonts w:ascii="Arial" w:cs="Arial" w:eastAsia="Arial" w:hAnsi="Arial"/>
          <w:sz w:val="19"/>
          <w:szCs w:val="19"/>
          <w:u w:val="single" w:color="auto"/>
          <w:color w:val="auto"/>
        </w:rPr>
        <w:t>Notices to Trustee</w:t>
      </w:r>
      <w:r>
        <w:rPr>
          <w:rFonts w:ascii="Arial" w:cs="Arial" w:eastAsia="Arial" w:hAnsi="Arial"/>
          <w:sz w:val="19"/>
          <w:szCs w:val="19"/>
          <w:color w:val="auto"/>
        </w:rPr>
        <w:t xml:space="preserve">.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conclusively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200" w:lineRule="exact"/>
        <w:rPr>
          <w:sz w:val="20"/>
          <w:szCs w:val="20"/>
          <w:color w:val="auto"/>
        </w:rPr>
      </w:pPr>
    </w:p>
    <w:p>
      <w:pPr>
        <w:spacing w:after="0" w:line="244"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 xml:space="preserve">Section 15.07 </w:t>
      </w:r>
      <w:r>
        <w:rPr>
          <w:rFonts w:ascii="Arial" w:cs="Arial" w:eastAsia="Arial" w:hAnsi="Arial"/>
          <w:sz w:val="22"/>
          <w:szCs w:val="22"/>
          <w:u w:val="single" w:color="auto"/>
          <w:color w:val="auto"/>
        </w:rPr>
        <w:t>Trustee as Holder of Senior Indebtedness</w:t>
      </w:r>
      <w:r>
        <w:rPr>
          <w:rFonts w:ascii="Arial" w:cs="Arial" w:eastAsia="Arial" w:hAnsi="Arial"/>
          <w:sz w:val="22"/>
          <w:szCs w:val="22"/>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215"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 xml:space="preserve">Section 15.08 </w:t>
      </w:r>
      <w:r>
        <w:rPr>
          <w:rFonts w:ascii="Arial" w:cs="Arial" w:eastAsia="Arial" w:hAnsi="Arial"/>
          <w:sz w:val="19"/>
          <w:szCs w:val="19"/>
          <w:u w:val="single" w:color="auto"/>
          <w:color w:val="auto"/>
        </w:rPr>
        <w:t>Modifications of Terms of Senior Indebtedness</w:t>
      </w:r>
      <w:r>
        <w:rPr>
          <w:rFonts w:ascii="Arial" w:cs="Arial" w:eastAsia="Arial" w:hAnsi="Arial"/>
          <w:sz w:val="19"/>
          <w:szCs w:val="19"/>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ind w:right="60" w:firstLine="648"/>
        <w:spacing w:after="0" w:line="245" w:lineRule="auto"/>
        <w:rPr>
          <w:sz w:val="20"/>
          <w:szCs w:val="20"/>
          <w:color w:val="auto"/>
        </w:rPr>
      </w:pPr>
      <w:r>
        <w:rPr>
          <w:rFonts w:ascii="Arial" w:cs="Arial" w:eastAsia="Arial" w:hAnsi="Arial"/>
          <w:sz w:val="21"/>
          <w:szCs w:val="21"/>
          <w:color w:val="auto"/>
        </w:rPr>
        <w:t xml:space="preserve">Section 15.09 </w:t>
      </w:r>
      <w:r>
        <w:rPr>
          <w:rFonts w:ascii="Arial" w:cs="Arial" w:eastAsia="Arial" w:hAnsi="Arial"/>
          <w:sz w:val="21"/>
          <w:szCs w:val="21"/>
          <w:u w:val="single" w:color="auto"/>
          <w:color w:val="auto"/>
        </w:rPr>
        <w:t>Reliance on Judicial Order or Certificate of Liquidating Agent</w:t>
      </w:r>
      <w:r>
        <w:rPr>
          <w:rFonts w:ascii="Arial" w:cs="Arial" w:eastAsia="Arial" w:hAnsi="Arial"/>
          <w:sz w:val="21"/>
          <w:szCs w:val="21"/>
          <w:color w:val="auto"/>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213"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9"/>
          <w:szCs w:val="19"/>
          <w:color w:val="auto"/>
        </w:rPr>
        <w:t xml:space="preserve">Section 15.10 </w:t>
      </w:r>
      <w:r>
        <w:rPr>
          <w:rFonts w:ascii="Arial" w:cs="Arial" w:eastAsia="Arial" w:hAnsi="Arial"/>
          <w:sz w:val="19"/>
          <w:szCs w:val="19"/>
          <w:u w:val="single" w:color="auto"/>
          <w:color w:val="auto"/>
        </w:rPr>
        <w:t>Satisfaction and Discharge; Defeasance and Covenant Defeasance</w:t>
      </w:r>
      <w:r>
        <w:rPr>
          <w:rFonts w:ascii="Arial" w:cs="Arial" w:eastAsia="Arial" w:hAnsi="Arial"/>
          <w:sz w:val="19"/>
          <w:szCs w:val="19"/>
          <w:color w:val="auto"/>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61"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 xml:space="preserve">Section 15.11 </w:t>
      </w:r>
      <w:r>
        <w:rPr>
          <w:rFonts w:ascii="Arial" w:cs="Arial" w:eastAsia="Arial" w:hAnsi="Arial"/>
          <w:sz w:val="22"/>
          <w:szCs w:val="22"/>
          <w:u w:val="single" w:color="auto"/>
          <w:color w:val="auto"/>
        </w:rPr>
        <w:t>Trustee Not Fiduciary for Holders of Senior Indebtedness</w:t>
      </w:r>
      <w:r>
        <w:rPr>
          <w:rFonts w:ascii="Arial" w:cs="Arial" w:eastAsia="Arial" w:hAnsi="Arial"/>
          <w:sz w:val="22"/>
          <w:szCs w:val="22"/>
          <w:color w:val="auto"/>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XVI</w:t>
      </w:r>
    </w:p>
    <w:p>
      <w:pPr>
        <w:spacing w:after="0" w:line="233" w:lineRule="exact"/>
        <w:rPr>
          <w:sz w:val="20"/>
          <w:szCs w:val="20"/>
          <w:color w:val="auto"/>
        </w:rPr>
      </w:pPr>
    </w:p>
    <w:p>
      <w:pPr>
        <w:ind w:left="4060"/>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3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16.01</w:t>
      </w:r>
      <w:r>
        <w:rPr>
          <w:sz w:val="20"/>
          <w:szCs w:val="20"/>
          <w:color w:val="auto"/>
        </w:rPr>
        <w:tab/>
      </w:r>
      <w:r>
        <w:rPr>
          <w:rFonts w:ascii="Arial" w:cs="Arial" w:eastAsia="Arial" w:hAnsi="Arial"/>
          <w:sz w:val="19"/>
          <w:szCs w:val="19"/>
          <w:u w:val="single" w:color="auto"/>
          <w:color w:val="auto"/>
        </w:rPr>
        <w:t>Certificates and Opinions as to Conditions Precedent</w:t>
      </w:r>
      <w:r>
        <w:rPr>
          <w:rFonts w:ascii="Arial" w:cs="Arial" w:eastAsia="Arial" w:hAnsi="Arial"/>
          <w:sz w:val="19"/>
          <w:szCs w:val="19"/>
          <w:color w:val="auto"/>
        </w:rPr>
        <w:t>.</w:t>
      </w:r>
    </w:p>
    <w:p>
      <w:pPr>
        <w:spacing w:after="0" w:line="233" w:lineRule="exact"/>
        <w:rPr>
          <w:sz w:val="20"/>
          <w:szCs w:val="20"/>
          <w:color w:val="auto"/>
        </w:rPr>
      </w:pPr>
    </w:p>
    <w:p>
      <w:pPr>
        <w:ind w:right="160" w:firstLine="1305"/>
        <w:spacing w:after="0" w:line="279" w:lineRule="auto"/>
        <w:tabs>
          <w:tab w:leader="none" w:pos="207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ind w:left="-60" w:firstLine="1305"/>
        <w:spacing w:after="0" w:line="246" w:lineRule="auto"/>
        <w:tabs>
          <w:tab w:leader="none" w:pos="202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208" w:lineRule="exact"/>
        <w:rPr>
          <w:rFonts w:ascii="Arial" w:cs="Arial" w:eastAsia="Arial" w:hAnsi="Arial"/>
          <w:sz w:val="21"/>
          <w:szCs w:val="21"/>
          <w:color w:val="auto"/>
        </w:rPr>
      </w:pPr>
    </w:p>
    <w:p>
      <w:pPr>
        <w:ind w:left="-60" w:right="20" w:firstLine="1305"/>
        <w:spacing w:after="0" w:line="234" w:lineRule="auto"/>
        <w:tabs>
          <w:tab w:leader="none" w:pos="200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214" w:lineRule="exact"/>
        <w:rPr>
          <w:rFonts w:ascii="Arial" w:cs="Arial" w:eastAsia="Arial" w:hAnsi="Arial"/>
          <w:sz w:val="22"/>
          <w:szCs w:val="22"/>
          <w:color w:val="auto"/>
        </w:rPr>
      </w:pPr>
    </w:p>
    <w:p>
      <w:pPr>
        <w:ind w:left="-60" w:right="60" w:firstLine="1305"/>
        <w:spacing w:after="0" w:line="279" w:lineRule="auto"/>
        <w:tabs>
          <w:tab w:leader="none" w:pos="201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77" w:lineRule="exact"/>
        <w:rPr>
          <w:rFonts w:ascii="Arial" w:cs="Arial" w:eastAsia="Arial" w:hAnsi="Arial"/>
          <w:sz w:val="19"/>
          <w:szCs w:val="19"/>
          <w:color w:val="auto"/>
        </w:rPr>
      </w:pPr>
    </w:p>
    <w:p>
      <w:pPr>
        <w:ind w:left="-60" w:firstLine="1305"/>
        <w:spacing w:after="0" w:line="236" w:lineRule="auto"/>
        <w:tabs>
          <w:tab w:leader="none" w:pos="201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214" w:lineRule="exact"/>
        <w:rPr>
          <w:rFonts w:ascii="Arial" w:cs="Arial" w:eastAsia="Arial" w:hAnsi="Arial"/>
          <w:sz w:val="22"/>
          <w:szCs w:val="22"/>
          <w:color w:val="auto"/>
        </w:rPr>
      </w:pPr>
    </w:p>
    <w:p>
      <w:pPr>
        <w:ind w:left="-60" w:right="220" w:firstLine="1305"/>
        <w:spacing w:after="0"/>
        <w:tabs>
          <w:tab w:leader="none" w:pos="198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18" w:name="page119"/>
    <w:bookmarkEnd w:id="118"/>
    <w:p>
      <w:pPr>
        <w:ind w:right="220" w:firstLine="648"/>
        <w:spacing w:after="0" w:line="238" w:lineRule="auto"/>
        <w:rPr>
          <w:sz w:val="20"/>
          <w:szCs w:val="20"/>
          <w:color w:val="auto"/>
        </w:rPr>
      </w:pPr>
      <w:r>
        <w:rPr>
          <w:rFonts w:ascii="Arial" w:cs="Arial" w:eastAsia="Arial" w:hAnsi="Arial"/>
          <w:sz w:val="22"/>
          <w:szCs w:val="22"/>
          <w:color w:val="auto"/>
        </w:rPr>
        <w:t xml:space="preserve">Section 16.02 </w:t>
      </w:r>
      <w:r>
        <w:rPr>
          <w:rFonts w:ascii="Arial" w:cs="Arial" w:eastAsia="Arial" w:hAnsi="Arial"/>
          <w:sz w:val="22"/>
          <w:szCs w:val="22"/>
          <w:u w:val="single" w:color="auto"/>
          <w:color w:val="auto"/>
        </w:rPr>
        <w:t>Trust Indenture Act Controls</w:t>
      </w:r>
      <w:r>
        <w:rPr>
          <w:rFonts w:ascii="Arial" w:cs="Arial" w:eastAsia="Arial" w:hAnsi="Arial"/>
          <w:sz w:val="22"/>
          <w:szCs w:val="22"/>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212"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 xml:space="preserve">Section 16.03 </w:t>
      </w:r>
      <w:r>
        <w:rPr>
          <w:rFonts w:ascii="Arial" w:cs="Arial" w:eastAsia="Arial" w:hAnsi="Arial"/>
          <w:sz w:val="22"/>
          <w:szCs w:val="22"/>
          <w:u w:val="single" w:color="auto"/>
          <w:color w:val="auto"/>
        </w:rPr>
        <w:t>Notices to the Company and Trustee</w:t>
      </w:r>
      <w:r>
        <w:rPr>
          <w:rFonts w:ascii="Arial" w:cs="Arial" w:eastAsia="Arial" w:hAnsi="Arial"/>
          <w:sz w:val="22"/>
          <w:szCs w:val="22"/>
          <w:color w:val="auto"/>
        </w:rPr>
        <w:t>. 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213" w:lineRule="exact"/>
        <w:rPr>
          <w:sz w:val="20"/>
          <w:szCs w:val="20"/>
          <w:color w:val="auto"/>
        </w:rPr>
      </w:pPr>
    </w:p>
    <w:p>
      <w:pPr>
        <w:ind w:right="340" w:firstLine="1305"/>
        <w:spacing w:after="0"/>
        <w:tabs>
          <w:tab w:leader="none" w:pos="207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Company, at 111 W. 19th Street, 8th Floor, New York, NY 10011, Attention: Cameron MacDougall, General Counsel and Secretary, Facsimile No.: (516) 268-7400 or at such other address or facsimile number as may have been furnished in writing to the Trustee by the Company.</w:t>
      </w:r>
    </w:p>
    <w:p>
      <w:pPr>
        <w:spacing w:after="0" w:line="213" w:lineRule="exact"/>
        <w:rPr>
          <w:rFonts w:ascii="Arial" w:cs="Arial" w:eastAsia="Arial" w:hAnsi="Arial"/>
          <w:sz w:val="22"/>
          <w:szCs w:val="22"/>
          <w:color w:val="auto"/>
        </w:rPr>
      </w:pPr>
    </w:p>
    <w:p>
      <w:pPr>
        <w:ind w:right="1060" w:firstLine="1305"/>
        <w:spacing w:after="0" w:line="251" w:lineRule="auto"/>
        <w:tabs>
          <w:tab w:leader="none" w:pos="208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Trustee, at the Corporate Trust Office of the Trustee, Attention: [Corporate Trust Services – Administrator for New Fortress Energy LLC].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Any such notice, demand or other document shall be in the English language.</w:t>
      </w:r>
    </w:p>
    <w:p>
      <w:pPr>
        <w:spacing w:after="0" w:line="233"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Section 16.04 </w:t>
      </w:r>
      <w:r>
        <w:rPr>
          <w:rFonts w:ascii="Arial" w:cs="Arial" w:eastAsia="Arial" w:hAnsi="Arial"/>
          <w:sz w:val="22"/>
          <w:szCs w:val="22"/>
          <w:u w:val="single" w:color="auto"/>
          <w:color w:val="auto"/>
        </w:rPr>
        <w:t>Notices to Securityholders; Waiver</w:t>
      </w:r>
      <w:r>
        <w:rPr>
          <w:rFonts w:ascii="Arial" w:cs="Arial" w:eastAsia="Arial" w:hAnsi="Arial"/>
          <w:sz w:val="22"/>
          <w:szCs w:val="22"/>
          <w:color w:val="auto"/>
        </w:rPr>
        <w:t>. Any notice required or permitted to be given to Securityholders shall be sufficiently given (unless otherwise herein expressly provided),</w:t>
      </w:r>
    </w:p>
    <w:p>
      <w:pPr>
        <w:spacing w:after="0" w:line="200" w:lineRule="exact"/>
        <w:rPr>
          <w:sz w:val="20"/>
          <w:szCs w:val="20"/>
          <w:color w:val="auto"/>
        </w:rPr>
      </w:pPr>
    </w:p>
    <w:p>
      <w:pPr>
        <w:ind w:firstLine="1305"/>
        <w:spacing w:after="0" w:line="252" w:lineRule="auto"/>
        <w:tabs>
          <w:tab w:leader="none" w:pos="2077"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if to Holders, if given in writing by first class mail, postage prepaid, to such Holders at their addresses as the same shall appear on the Register of the Company; </w:t>
      </w:r>
      <w:r>
        <w:rPr>
          <w:rFonts w:ascii="Arial" w:cs="Arial" w:eastAsia="Arial" w:hAnsi="Arial"/>
          <w:sz w:val="21"/>
          <w:szCs w:val="21"/>
          <w:i w:val="1"/>
          <w:iCs w:val="1"/>
          <w:color w:val="auto"/>
        </w:rPr>
        <w:t>provided</w:t>
      </w:r>
      <w:r>
        <w:rPr>
          <w:rFonts w:ascii="Arial" w:cs="Arial" w:eastAsia="Arial" w:hAnsi="Arial"/>
          <w:sz w:val="21"/>
          <w:szCs w:val="21"/>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201" w:lineRule="exact"/>
        <w:rPr>
          <w:rFonts w:ascii="Arial" w:cs="Arial" w:eastAsia="Arial" w:hAnsi="Arial"/>
          <w:sz w:val="21"/>
          <w:szCs w:val="21"/>
          <w:color w:val="auto"/>
        </w:rPr>
      </w:pPr>
    </w:p>
    <w:p>
      <w:pPr>
        <w:ind w:right="120" w:firstLine="1305"/>
        <w:spacing w:after="0"/>
        <w:tabs>
          <w:tab w:leader="none" w:pos="208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spacing w:after="0" w:line="213"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9" w:name="page120"/>
    <w:bookmarkEnd w:id="119"/>
    <w:p>
      <w:pPr>
        <w:ind w:right="60" w:firstLine="648"/>
        <w:spacing w:after="0" w:line="247" w:lineRule="auto"/>
        <w:rPr>
          <w:sz w:val="20"/>
          <w:szCs w:val="20"/>
          <w:color w:val="auto"/>
        </w:rPr>
      </w:pPr>
      <w:r>
        <w:rPr>
          <w:rFonts w:ascii="Arial" w:cs="Arial" w:eastAsia="Arial" w:hAnsi="Arial"/>
          <w:sz w:val="21"/>
          <w:szCs w:val="21"/>
          <w:color w:val="auto"/>
        </w:rPr>
        <w:t xml:space="preserve">Section 16.05 </w:t>
      </w:r>
      <w:r>
        <w:rPr>
          <w:rFonts w:ascii="Arial" w:cs="Arial" w:eastAsia="Arial" w:hAnsi="Arial"/>
          <w:sz w:val="21"/>
          <w:szCs w:val="21"/>
          <w:u w:val="single" w:color="auto"/>
          <w:color w:val="auto"/>
        </w:rPr>
        <w:t>Legal Holiday</w:t>
      </w:r>
      <w:r>
        <w:rPr>
          <w:rFonts w:ascii="Arial" w:cs="Arial" w:eastAsia="Arial" w:hAnsi="Arial"/>
          <w:sz w:val="21"/>
          <w:szCs w:val="21"/>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206" w:lineRule="exact"/>
        <w:rPr>
          <w:sz w:val="20"/>
          <w:szCs w:val="20"/>
          <w:color w:val="auto"/>
        </w:rPr>
      </w:pPr>
    </w:p>
    <w:p>
      <w:pPr>
        <w:ind w:right="440" w:firstLine="648"/>
        <w:spacing w:after="0" w:line="251" w:lineRule="auto"/>
        <w:rPr>
          <w:sz w:val="20"/>
          <w:szCs w:val="20"/>
          <w:color w:val="auto"/>
        </w:rPr>
      </w:pPr>
      <w:r>
        <w:rPr>
          <w:rFonts w:ascii="Arial" w:cs="Arial" w:eastAsia="Arial" w:hAnsi="Arial"/>
          <w:sz w:val="22"/>
          <w:szCs w:val="22"/>
          <w:color w:val="auto"/>
        </w:rPr>
        <w:t xml:space="preserve">Section 16.06 </w:t>
      </w:r>
      <w:r>
        <w:rPr>
          <w:rFonts w:ascii="Arial" w:cs="Arial" w:eastAsia="Arial" w:hAnsi="Arial"/>
          <w:sz w:val="22"/>
          <w:szCs w:val="22"/>
          <w:u w:val="single" w:color="auto"/>
          <w:color w:val="auto"/>
        </w:rPr>
        <w:t>Effects of Headings and Table of Contents</w:t>
      </w:r>
      <w:r>
        <w:rPr>
          <w:rFonts w:ascii="Arial" w:cs="Arial" w:eastAsia="Arial" w:hAnsi="Arial"/>
          <w:sz w:val="22"/>
          <w:szCs w:val="22"/>
          <w:color w:val="auto"/>
        </w:rPr>
        <w:t>. The Article and Section headings herein and the Table of Contents are for convenience only and shall not affect the construction hereof.</w:t>
      </w:r>
    </w:p>
    <w:p>
      <w:pPr>
        <w:spacing w:after="0" w:line="200" w:lineRule="exact"/>
        <w:rPr>
          <w:sz w:val="20"/>
          <w:szCs w:val="20"/>
          <w:color w:val="auto"/>
        </w:rPr>
      </w:pPr>
    </w:p>
    <w:p>
      <w:pPr>
        <w:jc w:val="both"/>
        <w:ind w:right="200" w:firstLine="648"/>
        <w:spacing w:after="0"/>
        <w:rPr>
          <w:sz w:val="20"/>
          <w:szCs w:val="20"/>
          <w:color w:val="auto"/>
        </w:rPr>
      </w:pPr>
      <w:r>
        <w:rPr>
          <w:rFonts w:ascii="Arial" w:cs="Arial" w:eastAsia="Arial" w:hAnsi="Arial"/>
          <w:sz w:val="22"/>
          <w:szCs w:val="22"/>
          <w:color w:val="auto"/>
        </w:rPr>
        <w:t xml:space="preserve">Section 16.07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covenants and agreements in this Indenture by the parties hereto shall bind their respective successors and assigns and inure to the benefit of their permitted successors and assigns, whether so expressed or not.</w:t>
      </w:r>
    </w:p>
    <w:p>
      <w:pPr>
        <w:spacing w:after="0" w:line="213"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 xml:space="preserve">Section 16.08 </w:t>
      </w:r>
      <w:r>
        <w:rPr>
          <w:rFonts w:ascii="Arial" w:cs="Arial" w:eastAsia="Arial" w:hAnsi="Arial"/>
          <w:sz w:val="22"/>
          <w:szCs w:val="22"/>
          <w:u w:val="single" w:color="auto"/>
          <w:color w:val="auto"/>
        </w:rPr>
        <w:t>Separability Clause</w:t>
      </w:r>
      <w:r>
        <w:rPr>
          <w:rFonts w:ascii="Arial" w:cs="Arial" w:eastAsia="Arial" w:hAnsi="Arial"/>
          <w:sz w:val="22"/>
          <w:szCs w:val="22"/>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213"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 xml:space="preserve">Section 16.09 </w:t>
      </w:r>
      <w:r>
        <w:rPr>
          <w:rFonts w:ascii="Arial" w:cs="Arial" w:eastAsia="Arial" w:hAnsi="Arial"/>
          <w:sz w:val="21"/>
          <w:szCs w:val="21"/>
          <w:u w:val="single" w:color="auto"/>
          <w:color w:val="auto"/>
        </w:rPr>
        <w:t>Benefits of Indenture</w:t>
      </w:r>
      <w:r>
        <w:rPr>
          <w:rFonts w:ascii="Arial" w:cs="Arial" w:eastAsia="Arial" w:hAnsi="Arial"/>
          <w:sz w:val="21"/>
          <w:szCs w:val="21"/>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204"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 xml:space="preserve">Section 16.10 </w:t>
      </w:r>
      <w:r>
        <w:rPr>
          <w:rFonts w:ascii="Arial" w:cs="Arial" w:eastAsia="Arial" w:hAnsi="Arial"/>
          <w:sz w:val="19"/>
          <w:szCs w:val="19"/>
          <w:u w:val="single" w:color="auto"/>
          <w:color w:val="auto"/>
        </w:rPr>
        <w:t>Counterparts Originals</w:t>
      </w:r>
      <w:r>
        <w:rPr>
          <w:rFonts w:ascii="Arial" w:cs="Arial" w:eastAsia="Arial" w:hAnsi="Arial"/>
          <w:sz w:val="19"/>
          <w:szCs w:val="19"/>
          <w:color w:val="auto"/>
        </w:rPr>
        <w:t>. This Indenture may be executed in any number of counterparts, each of which so executed shall be deemed to be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16.11 </w:t>
      </w:r>
      <w:r>
        <w:rPr>
          <w:rFonts w:ascii="Arial" w:cs="Arial" w:eastAsia="Arial" w:hAnsi="Arial"/>
          <w:sz w:val="22"/>
          <w:szCs w:val="22"/>
          <w:u w:val="single" w:color="auto"/>
          <w:color w:val="auto"/>
        </w:rPr>
        <w:t>Governing Law; Waiver of Trial by Jury</w:t>
      </w:r>
      <w:r>
        <w:rPr>
          <w:rFonts w:ascii="Arial" w:cs="Arial" w:eastAsia="Arial" w:hAnsi="Arial"/>
          <w:sz w:val="22"/>
          <w:szCs w:val="22"/>
          <w:color w:val="auto"/>
        </w:rPr>
        <w:t>. This Indenture and the Securities shall be deemed to be contracts made under the law of the State of New York, and for all purposes shall be governed by and construed in accordance with the law of said State.</w:t>
      </w:r>
    </w:p>
    <w:p>
      <w:pPr>
        <w:spacing w:after="0" w:line="213"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212"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Section 16.12 </w:t>
      </w:r>
      <w:r>
        <w:rPr>
          <w:rFonts w:ascii="Arial" w:cs="Arial" w:eastAsia="Arial" w:hAnsi="Arial"/>
          <w:sz w:val="19"/>
          <w:szCs w:val="19"/>
          <w:u w:val="single" w:color="auto"/>
          <w:color w:val="auto"/>
        </w:rPr>
        <w:t>Force Majeure</w:t>
      </w:r>
      <w:r>
        <w:rPr>
          <w:rFonts w:ascii="Arial" w:cs="Arial" w:eastAsia="Arial" w:hAnsi="Arial"/>
          <w:sz w:val="19"/>
          <w:szCs w:val="19"/>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8" w:lineRule="exact"/>
        <w:rPr>
          <w:sz w:val="20"/>
          <w:szCs w:val="20"/>
          <w:color w:val="auto"/>
        </w:rPr>
      </w:pPr>
    </w:p>
    <w:p>
      <w:pPr>
        <w:jc w:val="both"/>
        <w:ind w:right="140" w:firstLine="648"/>
        <w:spacing w:after="0" w:line="249" w:lineRule="auto"/>
        <w:rPr>
          <w:sz w:val="20"/>
          <w:szCs w:val="20"/>
          <w:color w:val="auto"/>
        </w:rPr>
      </w:pPr>
      <w:r>
        <w:rPr>
          <w:rFonts w:ascii="Arial" w:cs="Arial" w:eastAsia="Arial" w:hAnsi="Arial"/>
          <w:sz w:val="21"/>
          <w:szCs w:val="21"/>
          <w:color w:val="auto"/>
        </w:rPr>
        <w:t xml:space="preserve">Section 16.13 </w:t>
      </w:r>
      <w:r>
        <w:rPr>
          <w:rFonts w:ascii="Arial" w:cs="Arial" w:eastAsia="Arial" w:hAnsi="Arial"/>
          <w:sz w:val="21"/>
          <w:szCs w:val="21"/>
          <w:u w:val="single" w:color="auto"/>
          <w:color w:val="auto"/>
        </w:rPr>
        <w:t>U.S.A. Patriot Act</w:t>
      </w:r>
      <w:r>
        <w:rPr>
          <w:rFonts w:ascii="Arial" w:cs="Arial" w:eastAsia="Arial" w:hAnsi="Arial"/>
          <w:sz w:val="21"/>
          <w:szCs w:val="21"/>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ectPr>
          <w:pgSz w:w="11900" w:h="16838" w:orient="portrait"/>
          <w:cols w:equalWidth="0" w:num="1">
            <w:col w:w="11360"/>
          </w:cols>
          <w:pgMar w:left="240" w:top="118" w:right="299" w:bottom="1440" w:gutter="0" w:footer="0" w:header="0"/>
        </w:sect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9"/>
          <w:szCs w:val="19"/>
          <w:color w:val="auto"/>
        </w:rPr>
        <w:t>IN WITNESS WHEREOF, the parties have caused this Indenture to be duly executed as of the date first written above.</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00"/>
          </w:cols>
          <w:pgMar w:left="240" w:top="118" w:right="1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SECURITY]</w:t>
      </w:r>
    </w:p>
    <w:p>
      <w:pPr>
        <w:spacing w:after="0" w:line="23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212"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UNLESS THIS CERTIFICATE IS PRESENTED BY AN AUTHORIZED REPRESENTATIVE OF THE [DEPOSITARY] TO THE COMPANY OR ITS AGENT FOR REGISTRATION OF TRANSFER, EXCHANGE OR PAYMENT, AND ANY CERTIFICATE ISSUED IS REGISTERED IN THE NAME OF [NOMINEE OF DEPOSITARY]. OR IN SUCH OTHER NAME AS IS REQUESTED BY AN AUTHORIZED REPRESENTATIVE OF [DEPOSITARY] (AND ANY PAYMENT HEREON IS MADE TO [NOMINEE OF DEPOSITARY] OR TO SUCH OTHER ENTITY AS IS REQUESTED BY AN AUTHORIZED REPRESENTATIVE OF [DEPOSITARY]), ANY TRANSFER, PLEDGE OR OTHER USE HEREOF FOR VALUE OR OTHERWISE BY OR TO ANY PERSON IS WRONGFUL SINCE THE REGISTERED OWNER HEREOF, [NOMINEE OF DEPOSITARY], HAS AN INTEREST HEREIN.</w:t>
      </w:r>
    </w:p>
    <w:p>
      <w:pPr>
        <w:spacing w:after="0" w:line="208"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22" w:name="page123"/>
    <w:bookmarkEnd w:id="122"/>
    <w:p>
      <w:pPr>
        <w:ind w:left="9360"/>
        <w:spacing w:after="0"/>
        <w:rPr>
          <w:sz w:val="20"/>
          <w:szCs w:val="20"/>
          <w:color w:val="auto"/>
        </w:rPr>
      </w:pPr>
      <w:r>
        <w:rPr>
          <w:rFonts w:ascii="Arial" w:cs="Arial" w:eastAsia="Arial" w:hAnsi="Arial"/>
          <w:sz w:val="19"/>
          <w:szCs w:val="19"/>
          <w:color w:val="auto"/>
        </w:rPr>
        <w:t>CUSIP No.</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New Fortress Energy LLC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____________ NOTES DUE 20__</w:t>
      </w:r>
    </w:p>
    <w:p>
      <w:pPr>
        <w:sectPr>
          <w:pgSz w:w="11900" w:h="16838" w:orient="portrait"/>
          <w:cols w:equalWidth="0" w:num="1">
            <w:col w:w="11400"/>
          </w:cols>
          <w:pgMar w:left="240" w:top="118" w:right="25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revised by the Schedule of Increases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Decreases in Global Security attached hereto</w:t>
      </w:r>
    </w:p>
    <w:p>
      <w:pPr>
        <w:spacing w:after="0" w:line="200" w:lineRule="exact"/>
        <w:rPr>
          <w:sz w:val="20"/>
          <w:szCs w:val="20"/>
          <w:color w:val="auto"/>
        </w:rPr>
      </w:pPr>
    </w:p>
    <w:p>
      <w:pPr>
        <w:sectPr>
          <w:pgSz w:w="11900" w:h="16838" w:orient="portrait"/>
          <w:cols w:equalWidth="0" w:num="2">
            <w:col w:w="7280" w:space="720"/>
            <w:col w:w="3400"/>
          </w:cols>
          <w:pgMar w:left="240" w:top="118" w:right="25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New Fortress Energy LLC, a Delaware limited liability company (herein called the “Company,” which term includes any successor Person under the</w:t>
      </w:r>
    </w:p>
    <w:p>
      <w:pPr>
        <w:sectPr>
          <w:pgSz w:w="11900" w:h="16838" w:orient="portrait"/>
          <w:cols w:equalWidth="0" w:num="1">
            <w:col w:w="11400"/>
          </w:cols>
          <w:pgMar w:left="240" w:top="118" w:right="259" w:bottom="1440" w:gutter="0" w:footer="0" w:header="0"/>
          <w:type w:val="continuous"/>
        </w:sectPr>
      </w:pP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Indenture hereinafter referred to), for value received, hereby promises to pay to or registered assigns, the principal sum of million dollars ($ ), as revised by the Schedule of Increases or Decreases in Global Security attached hereto, on , 20 and to pay interest thereon from 20 or from the most recent Interest Payment Date to which interest has been paid or duly provided for, semi-annually in arrears on and in each year, commencing , 20 at the rate of % per annum, until the principal hereof is paid or made available for payment.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13" w:lineRule="exact"/>
        <w:rPr>
          <w:sz w:val="20"/>
          <w:szCs w:val="20"/>
          <w:color w:val="auto"/>
        </w:rPr>
      </w:pPr>
    </w:p>
    <w:p>
      <w:pPr>
        <w:sectPr>
          <w:pgSz w:w="11900" w:h="16838" w:orient="portrait"/>
          <w:cols w:equalWidth="0" w:num="2">
            <w:col w:w="11140" w:space="140"/>
            <w:col w:w="120"/>
          </w:cols>
          <w:pgMar w:left="240" w:top="118" w:right="259" w:bottom="1440" w:gutter="0" w:footer="0" w:header="0"/>
          <w:type w:val="continuous"/>
        </w:sectPr>
      </w:pPr>
    </w:p>
    <w:p>
      <w:pPr>
        <w:spacing w:after="0" w:line="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interest so payable, and punctually paid or duly provided for, on any Interest Payment Date will, as provided in such Indenture,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to the Person in whose name this Security (or one or more Predecessor Securities) is registered at the close of business on the Record Date for such</w:t>
      </w:r>
    </w:p>
    <w:p>
      <w:pPr>
        <w:ind w:right="100"/>
        <w:spacing w:after="0" w:line="252" w:lineRule="auto"/>
        <w:rPr>
          <w:sz w:val="20"/>
          <w:szCs w:val="20"/>
          <w:color w:val="auto"/>
        </w:rPr>
      </w:pPr>
      <w:r>
        <w:rPr>
          <w:rFonts w:ascii="Arial" w:cs="Arial" w:eastAsia="Arial" w:hAnsi="Arial"/>
          <w:sz w:val="18"/>
          <w:szCs w:val="18"/>
          <w:color w:val="auto"/>
        </w:rPr>
        <w:t>interest, which shall be or ,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2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Unless the certificate of authentication hereon has been executed by the Trustee referred to on the reverse hereof by manual signature,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shall not be entitled to any benefit under the Indenture or be valid or obligatory for any purpose.</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22"/>
          <w:szCs w:val="22"/>
          <w:color w:val="auto"/>
        </w:rPr>
        <w:t>IN WITNESS WHEREOF, the Company has caused this instrument to be duly executed under its corporate seal.</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720" w:type="dxa"/>
            <w:vAlign w:val="bottom"/>
          </w:tcPr>
          <w:p>
            <w:pPr>
              <w:spacing w:after="0"/>
              <w:rPr>
                <w:sz w:val="20"/>
                <w:szCs w:val="20"/>
                <w:color w:val="auto"/>
              </w:rPr>
            </w:pPr>
            <w:r>
              <w:rPr>
                <w:rFonts w:ascii="Arial" w:cs="Arial" w:eastAsia="Arial" w:hAnsi="Arial"/>
                <w:sz w:val="18"/>
                <w:szCs w:val="18"/>
                <w:color w:val="auto"/>
                <w:w w:val="94"/>
              </w:rPr>
              <w:t>Date of authentication:</w:t>
            </w:r>
          </w:p>
        </w:tc>
        <w:tc>
          <w:tcPr>
            <w:tcW w:w="1720" w:type="dxa"/>
            <w:vAlign w:val="bottom"/>
            <w:tcBorders>
              <w:bottom w:val="single" w:sz="8" w:color="auto"/>
            </w:tcBorders>
          </w:tcPr>
          <w:p>
            <w:pPr>
              <w:spacing w:after="0"/>
              <w:rPr>
                <w:sz w:val="21"/>
                <w:szCs w:val="21"/>
                <w:color w:val="auto"/>
              </w:rPr>
            </w:pPr>
          </w:p>
        </w:tc>
        <w:tc>
          <w:tcPr>
            <w:tcW w:w="7980" w:type="dxa"/>
            <w:vAlign w:val="bottom"/>
            <w:gridSpan w:val="2"/>
          </w:tcPr>
          <w:p>
            <w:pPr>
              <w:ind w:left="2280"/>
              <w:spacing w:after="0"/>
              <w:rPr>
                <w:sz w:val="20"/>
                <w:szCs w:val="20"/>
                <w:color w:val="auto"/>
              </w:rPr>
            </w:pPr>
            <w:r>
              <w:rPr>
                <w:rFonts w:ascii="Arial" w:cs="Arial" w:eastAsia="Arial" w:hAnsi="Arial"/>
                <w:sz w:val="18"/>
                <w:szCs w:val="18"/>
                <w:color w:val="auto"/>
              </w:rPr>
              <w:t>U.S. BANK NATIONAL ASSOCIATION,</w:t>
            </w:r>
          </w:p>
        </w:tc>
      </w:tr>
      <w:tr>
        <w:trPr>
          <w:trHeight w:val="203"/>
        </w:trPr>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980" w:type="dxa"/>
            <w:vAlign w:val="bottom"/>
            <w:gridSpan w:val="2"/>
          </w:tcPr>
          <w:p>
            <w:pPr>
              <w:ind w:left="2280"/>
              <w:spacing w:after="0" w:line="202" w:lineRule="exact"/>
              <w:rPr>
                <w:sz w:val="20"/>
                <w:szCs w:val="20"/>
                <w:color w:val="auto"/>
              </w:rPr>
            </w:pPr>
            <w:r>
              <w:rPr>
                <w:rFonts w:ascii="Arial" w:cs="Arial" w:eastAsia="Arial" w:hAnsi="Arial"/>
                <w:sz w:val="18"/>
                <w:szCs w:val="18"/>
                <w:color w:val="auto"/>
              </w:rPr>
              <w:t>as Trustee</w:t>
            </w:r>
          </w:p>
        </w:tc>
      </w:tr>
      <w:tr>
        <w:trPr>
          <w:trHeight w:val="493"/>
        </w:trPr>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980" w:type="dxa"/>
            <w:vAlign w:val="bottom"/>
            <w:gridSpan w:val="2"/>
          </w:tcPr>
          <w:p>
            <w:pPr>
              <w:ind w:left="2280"/>
              <w:spacing w:after="0"/>
              <w:rPr>
                <w:sz w:val="20"/>
                <w:szCs w:val="20"/>
                <w:color w:val="auto"/>
              </w:rPr>
            </w:pPr>
            <w:r>
              <w:rPr>
                <w:rFonts w:ascii="Arial" w:cs="Arial" w:eastAsia="Arial" w:hAnsi="Arial"/>
                <w:sz w:val="18"/>
                <w:szCs w:val="18"/>
                <w:color w:val="auto"/>
              </w:rPr>
              <w:t>By:</w:t>
            </w:r>
          </w:p>
        </w:tc>
      </w:tr>
      <w:tr>
        <w:trPr>
          <w:trHeight w:val="230"/>
        </w:trPr>
        <w:tc>
          <w:tcPr>
            <w:tcW w:w="1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568"/>
        </w:trPr>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980" w:type="dxa"/>
            <w:vAlign w:val="bottom"/>
            <w:gridSpan w:val="2"/>
          </w:tcPr>
          <w:p>
            <w:pPr>
              <w:ind w:left="2160"/>
              <w:spacing w:after="0"/>
              <w:rPr>
                <w:sz w:val="20"/>
                <w:szCs w:val="20"/>
                <w:color w:val="auto"/>
              </w:rPr>
            </w:pPr>
            <w:r>
              <w:rPr>
                <w:rFonts w:ascii="Arial" w:cs="Arial" w:eastAsia="Arial" w:hAnsi="Arial"/>
                <w:sz w:val="14"/>
                <w:szCs w:val="14"/>
                <w:color w:val="auto"/>
              </w:rPr>
              <w:t>A-3</w:t>
            </w:r>
          </w:p>
        </w:tc>
      </w:tr>
      <w:tr>
        <w:trPr>
          <w:trHeight w:val="46"/>
        </w:trPr>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22"/>
          <w:szCs w:val="22"/>
          <w:color w:val="auto"/>
        </w:rPr>
        <w:t>[FORM OF REVERSE OF SECURITY]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This Security is one of a duly authorized issue of securities of the Company (herein called the “Securities”), issued and to be issued in one or more</w:t>
      </w:r>
    </w:p>
    <w:p>
      <w:pPr>
        <w:spacing w:after="0" w:line="4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series under an Indenture, dated as of , 20 , [as supplemented by a Supplemental Indenture dated , 20 ] (as so supplemented, herein called the “Indenture”), between the Company and U.S. Bank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w:t>
      </w:r>
    </w:p>
    <w:p>
      <w:pPr>
        <w:spacing w:after="0" w:line="3"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principal amount to $</w:t>
      </w:r>
      <w:r>
        <w:rPr>
          <w:sz w:val="20"/>
          <w:szCs w:val="20"/>
          <w:color w:val="auto"/>
        </w:rPr>
        <w:tab/>
      </w:r>
      <w:r>
        <w:rPr>
          <w:rFonts w:ascii="Arial" w:cs="Arial" w:eastAsia="Arial" w:hAnsi="Arial"/>
          <w:sz w:val="14"/>
          <w:szCs w:val="14"/>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Securities of this series are subject to redemption at the Company’s option, at any time and from time to time, in whole or in part,</w:t>
      </w:r>
    </w:p>
    <w:p>
      <w:pPr>
        <w:spacing w:after="0" w:line="4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at a Redemption Price equal to</w:t>
      </w:r>
      <w:r>
        <w:rPr>
          <w:sz w:val="20"/>
          <w:szCs w:val="20"/>
          <w:color w:val="auto"/>
        </w:rPr>
        <w:tab/>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determining the optional redemption price, the following definitions are applicable:</w:t>
      </w:r>
    </w:p>
    <w:p>
      <w:pPr>
        <w:spacing w:after="0" w:line="233"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Notice of any redemption will be mailed at least 30 days but not more than 60 days before the Redemption Date (unless a shorter period shall be satisfactory to the Trustee) to each registered Holder of the Securities to be redeemed. Unless the Company defaults in payment of the redemption price, on and after the Redemption Date, interest will cease to accrue on the Securities or portions of the Securities called for redemption. If fewer than all of the Securities are to be redeemed, the Trustee will select, not more than</w:t>
      </w:r>
    </w:p>
    <w:p>
      <w:pPr>
        <w:spacing w:after="0" w:line="4" w:lineRule="exact"/>
        <w:rPr>
          <w:sz w:val="20"/>
          <w:szCs w:val="20"/>
          <w:color w:val="auto"/>
        </w:rPr>
      </w:pPr>
    </w:p>
    <w:p>
      <w:pPr>
        <w:ind w:right="100" w:firstLine="378"/>
        <w:spacing w:after="0" w:line="237" w:lineRule="auto"/>
        <w:rPr>
          <w:sz w:val="20"/>
          <w:szCs w:val="20"/>
          <w:color w:val="auto"/>
        </w:rPr>
      </w:pPr>
      <w:r>
        <w:rPr>
          <w:rFonts w:ascii="Arial" w:cs="Arial" w:eastAsia="Arial" w:hAnsi="Arial"/>
          <w:sz w:val="22"/>
          <w:szCs w:val="22"/>
          <w:color w:val="auto"/>
        </w:rPr>
        <w:t>days prior to the Redemption Date, the particular Securities or portions thereof for redemption from the outstanding Securities not previously called by such method as the Trustee deems fair and appropriate.</w:t>
      </w:r>
    </w:p>
    <w:p>
      <w:pPr>
        <w:spacing w:after="0" w:line="21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Except as set forth above, the Securities will not be redeemable by the Company prior to maturity [and will not be entitled to the benefit of any sinking fund].</w:t>
      </w:r>
    </w:p>
    <w:p>
      <w:pPr>
        <w:spacing w:after="0" w:line="2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Securities of this series shall occur and be continuing, the principal of the Securities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series may be declared due and payable in the manner and with the effect provided in the Indenture.</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Amendment, Modification and Waiver</w:t>
      </w:r>
      <w:r>
        <w:rPr>
          <w:rFonts w:ascii="Arial" w:cs="Arial" w:eastAsia="Arial" w:hAnsi="Arial"/>
          <w:sz w:val="17"/>
          <w:szCs w:val="17"/>
          <w:color w:val="auto"/>
        </w:rPr>
        <w:t>. The Indenture permits, with certain exceptions as therein provided, the amendment thereof and the modification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and obligations of the Company and the rights of the Holders of the Securities of each series to be affected under the Indenture at any time by the Company and the Trustee with the consent of the Holders of a majority in aggregate principal amount of the Securities at the time Outstanding of each series to be affected.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5" w:name="page126"/>
    <w:bookmarkEnd w:id="125"/>
    <w:p>
      <w:pPr>
        <w:ind w:right="80"/>
        <w:spacing w:after="0" w:line="241" w:lineRule="auto"/>
        <w:rPr>
          <w:sz w:val="20"/>
          <w:szCs w:val="20"/>
          <w:color w:val="auto"/>
        </w:rPr>
      </w:pPr>
      <w:r>
        <w:rPr>
          <w:rFonts w:ascii="Arial" w:cs="Arial" w:eastAsia="Arial" w:hAnsi="Arial"/>
          <w:sz w:val="22"/>
          <w:szCs w:val="22"/>
          <w:color w:val="auto"/>
        </w:rPr>
        <w:t>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The Indenture does not limit unsecured debt of the Company or any of its Subsidiaries.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Denominations, Transfer and Exchange</w:t>
      </w:r>
      <w:r>
        <w:rPr>
          <w:rFonts w:ascii="Arial" w:cs="Arial" w:eastAsia="Arial" w:hAnsi="Arial"/>
          <w:sz w:val="18"/>
          <w:szCs w:val="18"/>
          <w:color w:val="auto"/>
        </w:rPr>
        <w:t>. The Securities of this series are issuable only in registered form without coupons in denominations of $2,000 and in</w:t>
      </w:r>
      <w:r>
        <w:rPr>
          <w:rFonts w:ascii="Arial" w:cs="Arial" w:eastAsia="Arial" w:hAnsi="Arial"/>
          <w:sz w:val="18"/>
          <w:szCs w:val="18"/>
          <w:i w:val="1"/>
          <w:iCs w:val="1"/>
          <w:color w:val="auto"/>
        </w:rPr>
        <w:t xml:space="preserve"> </w:t>
      </w:r>
      <w:r>
        <w:rPr>
          <w:rFonts w:ascii="Arial" w:cs="Arial" w:eastAsia="Arial" w:hAnsi="Arial"/>
          <w:sz w:val="18"/>
          <w:szCs w:val="18"/>
          <w:color w:val="auto"/>
        </w:rPr>
        <w:t>integral multiples of $1,000 in excess thereof. As provided in the Indenture and subject to certain limitations therein set forth, Securities of this series are exchangeable for a like aggregate principal amount of Securities of like tenor of a different authorized denomination, as requested by the Holder surrendering the same.</w:t>
      </w:r>
    </w:p>
    <w:p>
      <w:pPr>
        <w:spacing w:after="0" w:line="207"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No service charge shall be made for any such registration of transfer or exchange, but the Company may require payment of a sum sufficient to cover any tax or other governmental charge payable in connection therewith.</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Prior to due presentment of this Security for registration of transfer, the Company, the Trustee and any agent of the Company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This Indenture and this Security shall be deemed to be contracts made under the law of the State of New York, and for all purposes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governed by and construed in accordance with the law of said State.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All terms used in this Security and not defined herein shall have the meanings assigned to them in the Indenture.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6" w:name="page127"/>
    <w:bookmarkEnd w:id="126"/>
    <w:p>
      <w:pPr>
        <w:ind w:left="2380"/>
        <w:spacing w:after="0"/>
        <w:rPr>
          <w:sz w:val="20"/>
          <w:szCs w:val="20"/>
          <w:color w:val="auto"/>
        </w:rPr>
      </w:pPr>
      <w:r>
        <w:rPr>
          <w:rFonts w:ascii="Arial" w:cs="Arial" w:eastAsia="Arial" w:hAnsi="Arial"/>
          <w:sz w:val="22"/>
          <w:szCs w:val="22"/>
          <w:color w:val="auto"/>
        </w:rPr>
        <w:t>SCHEDULE OF INCREASES OR DECREASES IN GLOBAL SECURITY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increases or decreases in this Global Security have been made: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Amount of</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Principal Amount</w:t>
            </w:r>
          </w:p>
        </w:tc>
        <w:tc>
          <w:tcPr>
            <w:tcW w:w="22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increase in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decrease in</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this Global</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 Amount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Principal Amount</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Security following</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authorized</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this Global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this Global</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each decrease or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signatory of</w:t>
            </w:r>
          </w:p>
        </w:tc>
      </w:tr>
      <w:tr>
        <w:trPr>
          <w:trHeight w:val="241"/>
        </w:trPr>
        <w:tc>
          <w:tcPr>
            <w:tcW w:w="21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Date of Exchange</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increase</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Trustee</w:t>
            </w:r>
          </w:p>
        </w:tc>
      </w:tr>
      <w:tr>
        <w:trPr>
          <w:trHeight w:val="866"/>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ind w:left="1000"/>
              <w:spacing w:after="0"/>
              <w:rPr>
                <w:sz w:val="20"/>
                <w:szCs w:val="20"/>
                <w:color w:val="auto"/>
              </w:rPr>
            </w:pPr>
            <w:r>
              <w:rPr>
                <w:rFonts w:ascii="Arial" w:cs="Arial" w:eastAsia="Arial" w:hAnsi="Arial"/>
                <w:sz w:val="14"/>
                <w:szCs w:val="14"/>
                <w:color w:val="auto"/>
              </w:rPr>
              <w:t>A-6</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0"/>
        </w:trPr>
        <w:tc>
          <w:tcPr>
            <w:tcW w:w="2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8"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[Skadden, Arps, Slate, Meagher &amp; Flom LLP Letterhead]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5, 2020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LLC</w:t>
      </w:r>
    </w:p>
    <w:p>
      <w:pPr>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10011</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 New Fortress Energy LLC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20" w:firstLine="1297"/>
        <w:spacing w:after="0" w:line="269" w:lineRule="auto"/>
        <w:rPr>
          <w:sz w:val="20"/>
          <w:szCs w:val="20"/>
          <w:color w:val="auto"/>
        </w:rPr>
      </w:pPr>
      <w:r>
        <w:rPr>
          <w:rFonts w:ascii="Arial" w:cs="Arial" w:eastAsia="Arial" w:hAnsi="Arial"/>
          <w:sz w:val="19"/>
          <w:szCs w:val="19"/>
          <w:color w:val="auto"/>
        </w:rPr>
        <w:t>We have acted as special United States counsel to New Fortress Energy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registration statement on Form S-3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to be filed on the date hereof by the Company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Registration Statement relates to the issuance and sale by the Company from time to time, pursuant to Rule 415 of the General Rules and Regulations of the Commission promulgated under the Securities Act (the “</w:t>
      </w:r>
      <w:r>
        <w:rPr>
          <w:rFonts w:ascii="Arial" w:cs="Arial" w:eastAsia="Arial" w:hAnsi="Arial"/>
          <w:sz w:val="19"/>
          <w:szCs w:val="19"/>
          <w:u w:val="single" w:color="auto"/>
          <w:color w:val="auto"/>
        </w:rPr>
        <w:t>Rules</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Regulations</w:t>
      </w:r>
      <w:r>
        <w:rPr>
          <w:rFonts w:ascii="Arial" w:cs="Arial" w:eastAsia="Arial" w:hAnsi="Arial"/>
          <w:sz w:val="19"/>
          <w:szCs w:val="19"/>
          <w:color w:val="auto"/>
        </w:rPr>
        <w:t>”), of (i) Class A shares representing limited liability company interests (the “</w:t>
      </w:r>
      <w:r>
        <w:rPr>
          <w:rFonts w:ascii="Arial" w:cs="Arial" w:eastAsia="Arial" w:hAnsi="Arial"/>
          <w:sz w:val="19"/>
          <w:szCs w:val="19"/>
          <w:u w:val="single" w:color="auto"/>
          <w:color w:val="auto"/>
        </w:rPr>
        <w:t>Class A Shares</w:t>
      </w:r>
      <w:r>
        <w:rPr>
          <w:rFonts w:ascii="Arial" w:cs="Arial" w:eastAsia="Arial" w:hAnsi="Arial"/>
          <w:sz w:val="19"/>
          <w:szCs w:val="19"/>
          <w:color w:val="auto"/>
        </w:rPr>
        <w:t>”), (ii) preferred shares representing limited liability company interests (“</w:t>
      </w:r>
      <w:r>
        <w:rPr>
          <w:rFonts w:ascii="Arial" w:cs="Arial" w:eastAsia="Arial" w:hAnsi="Arial"/>
          <w:sz w:val="19"/>
          <w:szCs w:val="19"/>
          <w:u w:val="single" w:color="auto"/>
          <w:color w:val="auto"/>
        </w:rPr>
        <w:t>Preferred Shares</w:t>
      </w:r>
      <w:r>
        <w:rPr>
          <w:rFonts w:ascii="Arial" w:cs="Arial" w:eastAsia="Arial" w:hAnsi="Arial"/>
          <w:sz w:val="19"/>
          <w:szCs w:val="19"/>
          <w:color w:val="auto"/>
        </w:rPr>
        <w:t>”), which may be issued in one or more series, (iii) depositary receipts (the “</w:t>
      </w:r>
      <w:r>
        <w:rPr>
          <w:rFonts w:ascii="Arial" w:cs="Arial" w:eastAsia="Arial" w:hAnsi="Arial"/>
          <w:sz w:val="19"/>
          <w:szCs w:val="19"/>
          <w:u w:val="single" w:color="auto"/>
          <w:color w:val="auto"/>
        </w:rPr>
        <w:t>Receipts</w:t>
      </w:r>
      <w:r>
        <w:rPr>
          <w:rFonts w:ascii="Arial" w:cs="Arial" w:eastAsia="Arial" w:hAnsi="Arial"/>
          <w:sz w:val="19"/>
          <w:szCs w:val="19"/>
          <w:color w:val="auto"/>
        </w:rPr>
        <w:t>”) representing fractional shares of the Preferred Shares (the “</w:t>
      </w:r>
      <w:r>
        <w:rPr>
          <w:rFonts w:ascii="Arial" w:cs="Arial" w:eastAsia="Arial" w:hAnsi="Arial"/>
          <w:sz w:val="19"/>
          <w:szCs w:val="19"/>
          <w:u w:val="single" w:color="auto"/>
          <w:color w:val="auto"/>
        </w:rPr>
        <w:t>Depositary Shares</w:t>
      </w:r>
      <w:r>
        <w:rPr>
          <w:rFonts w:ascii="Arial" w:cs="Arial" w:eastAsia="Arial" w:hAnsi="Arial"/>
          <w:sz w:val="19"/>
          <w:szCs w:val="19"/>
          <w:color w:val="auto"/>
        </w:rPr>
        <w:t>”) which may be issued pursuant to one or more depositary agreements (each, a “</w:t>
      </w:r>
      <w:r>
        <w:rPr>
          <w:rFonts w:ascii="Arial" w:cs="Arial" w:eastAsia="Arial" w:hAnsi="Arial"/>
          <w:sz w:val="19"/>
          <w:szCs w:val="19"/>
          <w:u w:val="single" w:color="auto"/>
          <w:color w:val="auto"/>
        </w:rPr>
        <w:t>Depositary Agreement</w:t>
      </w:r>
      <w:r>
        <w:rPr>
          <w:rFonts w:ascii="Arial" w:cs="Arial" w:eastAsia="Arial" w:hAnsi="Arial"/>
          <w:sz w:val="19"/>
          <w:szCs w:val="19"/>
          <w:color w:val="auto"/>
        </w:rPr>
        <w:t>”) proposed to be entered into between the Company and one or more bank or trust companies to be named in the applicable Depositary Agreement (each, a “</w:t>
      </w:r>
      <w:r>
        <w:rPr>
          <w:rFonts w:ascii="Arial" w:cs="Arial" w:eastAsia="Arial" w:hAnsi="Arial"/>
          <w:sz w:val="19"/>
          <w:szCs w:val="19"/>
          <w:u w:val="single" w:color="auto"/>
          <w:color w:val="auto"/>
        </w:rPr>
        <w:t>Bank</w:t>
      </w:r>
      <w:r>
        <w:rPr>
          <w:rFonts w:ascii="Arial" w:cs="Arial" w:eastAsia="Arial" w:hAnsi="Arial"/>
          <w:sz w:val="19"/>
          <w:szCs w:val="19"/>
          <w:color w:val="auto"/>
        </w:rPr>
        <w:t xml:space="preserve"> </w:t>
      </w:r>
      <w:r>
        <w:rPr>
          <w:rFonts w:ascii="Arial" w:cs="Arial" w:eastAsia="Arial" w:hAnsi="Arial"/>
          <w:sz w:val="19"/>
          <w:szCs w:val="19"/>
          <w:u w:val="single" w:color="auto"/>
          <w:color w:val="auto"/>
        </w:rPr>
        <w:t>Depositary</w:t>
      </w:r>
      <w:r>
        <w:rPr>
          <w:rFonts w:ascii="Arial" w:cs="Arial" w:eastAsia="Arial" w:hAnsi="Arial"/>
          <w:sz w:val="19"/>
          <w:szCs w:val="19"/>
          <w:color w:val="auto"/>
        </w:rPr>
        <w:t>”); (iv) debt securities of the Company (“</w:t>
      </w:r>
      <w:r>
        <w:rPr>
          <w:rFonts w:ascii="Arial" w:cs="Arial" w:eastAsia="Arial" w:hAnsi="Arial"/>
          <w:sz w:val="19"/>
          <w:szCs w:val="19"/>
          <w:u w:val="single" w:color="auto"/>
          <w:color w:val="auto"/>
        </w:rPr>
        <w:t>Debt Securities</w:t>
      </w:r>
      <w:r>
        <w:rPr>
          <w:rFonts w:ascii="Arial" w:cs="Arial" w:eastAsia="Arial" w:hAnsi="Arial"/>
          <w:sz w:val="19"/>
          <w:szCs w:val="19"/>
          <w:color w:val="auto"/>
        </w:rPr>
        <w:t>”), which may be issued in one or more series under an indenture (the “</w:t>
      </w:r>
      <w:r>
        <w:rPr>
          <w:rFonts w:ascii="Arial" w:cs="Arial" w:eastAsia="Arial" w:hAnsi="Arial"/>
          <w:sz w:val="19"/>
          <w:szCs w:val="19"/>
          <w:u w:val="single" w:color="auto"/>
          <w:color w:val="auto"/>
        </w:rPr>
        <w:t>Indenture</w:t>
      </w:r>
      <w:r>
        <w:rPr>
          <w:rFonts w:ascii="Arial" w:cs="Arial" w:eastAsia="Arial" w:hAnsi="Arial"/>
          <w:sz w:val="19"/>
          <w:szCs w:val="19"/>
          <w:color w:val="auto"/>
        </w:rPr>
        <w:t>”) proposed to be entered into by the Company and the trustee to be named therein, the form of which is filed as an exhibit to the Registration Statement, (v) warrants to purchase Class A Shares, Preferred Shares or Debt Securities (“</w:t>
      </w:r>
      <w:r>
        <w:rPr>
          <w:rFonts w:ascii="Arial" w:cs="Arial" w:eastAsia="Arial" w:hAnsi="Arial"/>
          <w:sz w:val="19"/>
          <w:szCs w:val="19"/>
          <w:u w:val="single" w:color="auto"/>
          <w:color w:val="auto"/>
        </w:rPr>
        <w:t>Warrants</w:t>
      </w:r>
      <w:r>
        <w:rPr>
          <w:rFonts w:ascii="Arial" w:cs="Arial" w:eastAsia="Arial" w:hAnsi="Arial"/>
          <w:sz w:val="19"/>
          <w:szCs w:val="19"/>
          <w:color w:val="auto"/>
        </w:rPr>
        <w:t>”), which may be issued pursuant to one or more warrant agreements (each, a “</w:t>
      </w:r>
      <w:r>
        <w:rPr>
          <w:rFonts w:ascii="Arial" w:cs="Arial" w:eastAsia="Arial" w:hAnsi="Arial"/>
          <w:sz w:val="19"/>
          <w:szCs w:val="19"/>
          <w:u w:val="single" w:color="auto"/>
          <w:color w:val="auto"/>
        </w:rPr>
        <w:t>Warrant Agreement</w:t>
      </w:r>
      <w:r>
        <w:rPr>
          <w:rFonts w:ascii="Arial" w:cs="Arial" w:eastAsia="Arial" w:hAnsi="Arial"/>
          <w:sz w:val="19"/>
          <w:szCs w:val="19"/>
          <w:color w:val="auto"/>
        </w:rPr>
        <w:t>”) proposed to be entered into by the Company and one or more warrant agents to be named therein, and (vi) such indeterminate number of shares of Class A Shares, Preferred Shares or Depositary Shares and indeterminate amount of Debt Securities as may be issued upon conversion, exchange or exercise, as applicable, of any Preferred Shares, Depositary Shares, Debt Securities or Warrants, including such Class A Shares or Preferred Shares as may be issued pursuant to anti-dilution adjustments determined at the time of offering (collectively, “</w:t>
      </w:r>
      <w:r>
        <w:rPr>
          <w:rFonts w:ascii="Arial" w:cs="Arial" w:eastAsia="Arial" w:hAnsi="Arial"/>
          <w:sz w:val="19"/>
          <w:szCs w:val="19"/>
          <w:u w:val="single" w:color="auto"/>
          <w:color w:val="auto"/>
        </w:rPr>
        <w:t>Indeterminate Securities</w:t>
      </w:r>
      <w:r>
        <w:rPr>
          <w:rFonts w:ascii="Arial" w:cs="Arial" w:eastAsia="Arial" w:hAnsi="Arial"/>
          <w:sz w:val="19"/>
          <w:szCs w:val="19"/>
          <w:color w:val="auto"/>
        </w:rPr>
        <w:t>”). The Registration Statement also relates to the sale from time to time of (a) up to 708,092 Class A Shares (the “</w:t>
      </w:r>
      <w:r>
        <w:rPr>
          <w:rFonts w:ascii="Arial" w:cs="Arial" w:eastAsia="Arial" w:hAnsi="Arial"/>
          <w:sz w:val="19"/>
          <w:szCs w:val="19"/>
          <w:u w:val="single" w:color="auto"/>
          <w:color w:val="auto"/>
        </w:rPr>
        <w:t>RSU Secondary Shares</w:t>
      </w:r>
      <w:r>
        <w:rPr>
          <w:rFonts w:ascii="Arial" w:cs="Arial" w:eastAsia="Arial" w:hAnsi="Arial"/>
          <w:sz w:val="19"/>
          <w:szCs w:val="19"/>
          <w:color w:val="auto"/>
        </w:rPr>
        <w:t>”) issuable upon settlement of certain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outstanding under the Company’s 2019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and (b) 144,342,572 Class A Shares issuable upon exchange of common units of New Fortress Intermediate LLC (“</w:t>
      </w:r>
      <w:r>
        <w:rPr>
          <w:rFonts w:ascii="Arial" w:cs="Arial" w:eastAsia="Arial" w:hAnsi="Arial"/>
          <w:sz w:val="19"/>
          <w:szCs w:val="19"/>
          <w:u w:val="single" w:color="auto"/>
          <w:color w:val="auto"/>
        </w:rPr>
        <w:t>NFI</w:t>
      </w:r>
      <w:r>
        <w:rPr>
          <w:rFonts w:ascii="Arial" w:cs="Arial" w:eastAsia="Arial" w:hAnsi="Arial"/>
          <w:sz w:val="19"/>
          <w:szCs w:val="19"/>
          <w:color w:val="auto"/>
        </w:rPr>
        <w:t>”) pursuant to the Amended and Restated Limited Liability Company Agreement of New Fortress Intermediate LLC, dated February 4, 2019 (the “</w:t>
      </w:r>
      <w:r>
        <w:rPr>
          <w:rFonts w:ascii="Arial" w:cs="Arial" w:eastAsia="Arial" w:hAnsi="Arial"/>
          <w:sz w:val="19"/>
          <w:szCs w:val="19"/>
          <w:u w:val="single" w:color="auto"/>
          <w:color w:val="auto"/>
        </w:rPr>
        <w:t>NFI LLC Agreement</w:t>
      </w:r>
      <w:r>
        <w:rPr>
          <w:rFonts w:ascii="Arial" w:cs="Arial" w:eastAsia="Arial" w:hAnsi="Arial"/>
          <w:sz w:val="19"/>
          <w:szCs w:val="19"/>
          <w:color w:val="auto"/>
        </w:rPr>
        <w:t>”) (the “</w:t>
      </w:r>
      <w:r>
        <w:rPr>
          <w:rFonts w:ascii="Arial" w:cs="Arial" w:eastAsia="Arial" w:hAnsi="Arial"/>
          <w:sz w:val="19"/>
          <w:szCs w:val="19"/>
          <w:u w:val="single" w:color="auto"/>
          <w:color w:val="auto"/>
        </w:rPr>
        <w:t>Exchange Secondary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and together with the RSU Secondary Shares, the “</w:t>
      </w:r>
      <w:r>
        <w:rPr>
          <w:rFonts w:ascii="Arial" w:cs="Arial" w:eastAsia="Arial" w:hAnsi="Arial"/>
          <w:sz w:val="19"/>
          <w:szCs w:val="19"/>
          <w:u w:val="single" w:color="auto"/>
          <w:color w:val="auto"/>
        </w:rPr>
        <w:t>Secondary Shares</w:t>
      </w:r>
      <w:r>
        <w:rPr>
          <w:rFonts w:ascii="Arial" w:cs="Arial" w:eastAsia="Arial" w:hAnsi="Arial"/>
          <w:sz w:val="19"/>
          <w:szCs w:val="19"/>
          <w:color w:val="auto"/>
        </w:rPr>
        <w:t>”) in each case on behalf of the Company’s shareholders (the “</w:t>
      </w:r>
      <w:r>
        <w:rPr>
          <w:rFonts w:ascii="Arial" w:cs="Arial" w:eastAsia="Arial" w:hAnsi="Arial"/>
          <w:sz w:val="19"/>
          <w:szCs w:val="19"/>
          <w:u w:val="single" w:color="auto"/>
          <w:color w:val="auto"/>
        </w:rPr>
        <w:t>Selling Shareholders</w:t>
      </w:r>
      <w:r>
        <w:rPr>
          <w:rFonts w:ascii="Arial" w:cs="Arial" w:eastAsia="Arial" w:hAnsi="Arial"/>
          <w:sz w:val="19"/>
          <w:szCs w:val="19"/>
          <w:color w:val="auto"/>
        </w:rPr>
        <w:t>”). The Class A Shares, Preferred Shares, Depositary Shares, Debt Securities, Warrants, Indeterminate Securities and Secondary Shares offered pursuant to the Registration Statement are collectively referred to herein as the “</w:t>
      </w:r>
      <w:r>
        <w:rPr>
          <w:rFonts w:ascii="Arial" w:cs="Arial" w:eastAsia="Arial" w:hAnsi="Arial"/>
          <w:sz w:val="19"/>
          <w:szCs w:val="19"/>
          <w:u w:val="single" w:color="auto"/>
          <w:color w:val="auto"/>
        </w:rPr>
        <w:t>Securities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New Fortress Energy LLC</w:t>
      </w:r>
    </w:p>
    <w:p>
      <w:pPr>
        <w:spacing w:after="0" w:line="238" w:lineRule="auto"/>
        <w:rPr>
          <w:sz w:val="20"/>
          <w:szCs w:val="20"/>
          <w:color w:val="auto"/>
        </w:rPr>
      </w:pPr>
      <w:r>
        <w:rPr>
          <w:rFonts w:ascii="Arial" w:cs="Arial" w:eastAsia="Arial" w:hAnsi="Arial"/>
          <w:sz w:val="22"/>
          <w:szCs w:val="22"/>
          <w:color w:val="auto"/>
        </w:rPr>
        <w:t>March 5,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opinion is being furnished in accordance with the requirements of Item 601(b)(5) of Regulation S-K under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Securities Act.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rendering the opinions stated herein, we have examined and relied upon the following:</w:t>
      </w:r>
    </w:p>
    <w:p>
      <w:pPr>
        <w:spacing w:after="0" w:line="233" w:lineRule="exact"/>
        <w:rPr>
          <w:sz w:val="20"/>
          <w:szCs w:val="20"/>
          <w:color w:val="auto"/>
        </w:rPr>
      </w:pPr>
    </w:p>
    <w:p>
      <w:pPr>
        <w:ind w:left="2080" w:hanging="775"/>
        <w:spacing w:after="0"/>
        <w:tabs>
          <w:tab w:leader="none" w:pos="2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Registration Statement;</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form of Indenture filed as an exhibit to the Registration Statement;</w:t>
      </w:r>
    </w:p>
    <w:p>
      <w:pPr>
        <w:spacing w:after="0" w:line="233" w:lineRule="exact"/>
        <w:rPr>
          <w:rFonts w:ascii="Arial" w:cs="Arial" w:eastAsia="Arial" w:hAnsi="Arial"/>
          <w:sz w:val="22"/>
          <w:szCs w:val="22"/>
          <w:color w:val="auto"/>
        </w:rPr>
      </w:pPr>
    </w:p>
    <w:p>
      <w:pPr>
        <w:ind w:right="360" w:firstLine="1305"/>
        <w:spacing w:after="0" w:line="251" w:lineRule="auto"/>
        <w:tabs>
          <w:tab w:leader="none" w:pos="207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 executed copy of a certificate of Cameron D. MacDougall, Secretary of the Company, dated the date hereof (the “</w:t>
      </w:r>
      <w:r>
        <w:rPr>
          <w:rFonts w:ascii="Arial" w:cs="Arial" w:eastAsia="Arial" w:hAnsi="Arial"/>
          <w:sz w:val="22"/>
          <w:szCs w:val="22"/>
          <w:u w:val="single" w:color="auto"/>
          <w:color w:val="auto"/>
        </w:rPr>
        <w:t>Secretary’s Certificate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2100" w:hanging="795"/>
        <w:spacing w:after="0"/>
        <w:tabs>
          <w:tab w:leader="none" w:pos="21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Plan;</w:t>
      </w:r>
    </w:p>
    <w:p>
      <w:pPr>
        <w:spacing w:after="0" w:line="233" w:lineRule="exact"/>
        <w:rPr>
          <w:rFonts w:ascii="Arial" w:cs="Arial" w:eastAsia="Arial" w:hAnsi="Arial"/>
          <w:sz w:val="22"/>
          <w:szCs w:val="22"/>
          <w:color w:val="auto"/>
        </w:rPr>
      </w:pPr>
    </w:p>
    <w:p>
      <w:pPr>
        <w:ind w:right="820" w:firstLine="1305"/>
        <w:spacing w:after="0" w:line="328" w:lineRule="auto"/>
        <w:tabs>
          <w:tab w:leader="none" w:pos="207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 copy of the Company’s Certificate of Formation (the “</w:t>
      </w:r>
      <w:r>
        <w:rPr>
          <w:rFonts w:ascii="Arial" w:cs="Arial" w:eastAsia="Arial" w:hAnsi="Arial"/>
          <w:sz w:val="19"/>
          <w:szCs w:val="19"/>
          <w:u w:val="single" w:color="auto"/>
          <w:color w:val="auto"/>
        </w:rPr>
        <w:t>Certificate of Formation</w:t>
      </w:r>
      <w:r>
        <w:rPr>
          <w:rFonts w:ascii="Arial" w:cs="Arial" w:eastAsia="Arial" w:hAnsi="Arial"/>
          <w:sz w:val="19"/>
          <w:szCs w:val="19"/>
          <w:color w:val="auto"/>
        </w:rPr>
        <w:t>”) certified by the Secretary of State of the State of Delaware as of March 2, 2020, and certified pursuant to the Secretary’s Certificate;</w:t>
      </w:r>
    </w:p>
    <w:p>
      <w:pPr>
        <w:spacing w:after="0" w:line="132" w:lineRule="exact"/>
        <w:rPr>
          <w:rFonts w:ascii="Arial" w:cs="Arial" w:eastAsia="Arial" w:hAnsi="Arial"/>
          <w:sz w:val="19"/>
          <w:szCs w:val="19"/>
          <w:color w:val="auto"/>
        </w:rPr>
      </w:pPr>
    </w:p>
    <w:p>
      <w:pPr>
        <w:ind w:firstLine="1305"/>
        <w:spacing w:after="0" w:line="251" w:lineRule="auto"/>
        <w:tabs>
          <w:tab w:leader="none" w:pos="205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copy of the First Amended and Restated Limited Liability Company Agreement of the Company, dated as of February 4, 2019 (the “</w:t>
      </w:r>
      <w:r>
        <w:rPr>
          <w:rFonts w:ascii="Arial" w:cs="Arial" w:eastAsia="Arial" w:hAnsi="Arial"/>
          <w:sz w:val="22"/>
          <w:szCs w:val="22"/>
          <w:u w:val="single" w:color="auto"/>
          <w:color w:val="auto"/>
        </w:rPr>
        <w:t>LLC Agreement</w:t>
      </w:r>
      <w:r>
        <w:rPr>
          <w:rFonts w:ascii="Arial" w:cs="Arial" w:eastAsia="Arial" w:hAnsi="Arial"/>
          <w:sz w:val="22"/>
          <w:szCs w:val="22"/>
          <w:color w:val="auto"/>
        </w:rPr>
        <w:t>”), certified pursuant to the Secretary’s Certificate;</w:t>
      </w:r>
    </w:p>
    <w:p>
      <w:pPr>
        <w:spacing w:after="0" w:line="200" w:lineRule="exact"/>
        <w:rPr>
          <w:rFonts w:ascii="Arial" w:cs="Arial" w:eastAsia="Arial" w:hAnsi="Arial"/>
          <w:sz w:val="22"/>
          <w:szCs w:val="22"/>
          <w:color w:val="auto"/>
        </w:rPr>
      </w:pPr>
    </w:p>
    <w:p>
      <w:pPr>
        <w:ind w:left="2100" w:hanging="795"/>
        <w:spacing w:after="0"/>
        <w:tabs>
          <w:tab w:leader="none" w:pos="21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copy of the NFI LLC Agreement, certified pursuant to the Secretary’s Certificate;</w:t>
      </w:r>
    </w:p>
    <w:p>
      <w:pPr>
        <w:spacing w:after="0" w:line="233" w:lineRule="exact"/>
        <w:rPr>
          <w:rFonts w:ascii="Arial" w:cs="Arial" w:eastAsia="Arial" w:hAnsi="Arial"/>
          <w:sz w:val="22"/>
          <w:szCs w:val="22"/>
          <w:color w:val="auto"/>
        </w:rPr>
      </w:pPr>
    </w:p>
    <w:p>
      <w:pPr>
        <w:ind w:right="220" w:firstLine="1305"/>
        <w:spacing w:after="0" w:line="251" w:lineRule="auto"/>
        <w:tabs>
          <w:tab w:leader="none" w:pos="208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copies of certain resolutions of the Board of Directors of the Company, adopted on January 30, 2019 and March 3, 2020, and certified pursuant to the Secretary’s Certificate;</w:t>
      </w:r>
    </w:p>
    <w:p>
      <w:pPr>
        <w:spacing w:after="0" w:line="200" w:lineRule="exact"/>
        <w:rPr>
          <w:rFonts w:ascii="Arial" w:cs="Arial" w:eastAsia="Arial" w:hAnsi="Arial"/>
          <w:sz w:val="22"/>
          <w:szCs w:val="22"/>
          <w:color w:val="auto"/>
        </w:rPr>
      </w:pPr>
    </w:p>
    <w:p>
      <w:pPr>
        <w:ind w:right="300" w:firstLine="1305"/>
        <w:spacing w:after="0" w:line="251" w:lineRule="auto"/>
        <w:tabs>
          <w:tab w:leader="none" w:pos="204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copy of certain resolutions of the Compensation Committee of the Board of Directors of the Company, adopted on March 7, 2019, and certified pursuant to the Secretary’s Certificate;</w:t>
      </w:r>
    </w:p>
    <w:p>
      <w:pPr>
        <w:spacing w:after="0" w:line="200" w:lineRule="exact"/>
        <w:rPr>
          <w:rFonts w:ascii="Arial" w:cs="Arial" w:eastAsia="Arial" w:hAnsi="Arial"/>
          <w:sz w:val="22"/>
          <w:szCs w:val="22"/>
          <w:color w:val="auto"/>
        </w:rPr>
      </w:pPr>
    </w:p>
    <w:p>
      <w:pPr>
        <w:ind w:left="2040" w:hanging="735"/>
        <w:spacing w:after="0"/>
        <w:tabs>
          <w:tab w:leader="none" w:pos="20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 copy of the Form of Director Restricted Share Unit Award Agreement (the “</w:t>
      </w:r>
      <w:r>
        <w:rPr>
          <w:rFonts w:ascii="Arial" w:cs="Arial" w:eastAsia="Arial" w:hAnsi="Arial"/>
          <w:sz w:val="21"/>
          <w:szCs w:val="21"/>
          <w:u w:val="single" w:color="auto"/>
          <w:color w:val="auto"/>
        </w:rPr>
        <w:t>Director RSU Award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and</w:t>
      </w:r>
    </w:p>
    <w:p>
      <w:pPr>
        <w:spacing w:after="0" w:line="215" w:lineRule="exact"/>
        <w:rPr>
          <w:rFonts w:ascii="Arial" w:cs="Arial" w:eastAsia="Arial" w:hAnsi="Arial"/>
          <w:sz w:val="21"/>
          <w:szCs w:val="21"/>
          <w:color w:val="auto"/>
        </w:rPr>
      </w:pPr>
    </w:p>
    <w:p>
      <w:pPr>
        <w:ind w:right="400" w:firstLine="1305"/>
        <w:spacing w:after="0" w:line="251" w:lineRule="auto"/>
        <w:tabs>
          <w:tab w:leader="none" w:pos="208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copy of the Form of Restricted Share Unit Award Agreement (together with the Director RSU Award Agreement, the “</w:t>
      </w:r>
      <w:r>
        <w:rPr>
          <w:rFonts w:ascii="Arial" w:cs="Arial" w:eastAsia="Arial" w:hAnsi="Arial"/>
          <w:sz w:val="22"/>
          <w:szCs w:val="22"/>
          <w:u w:val="single" w:color="auto"/>
          <w:color w:val="auto"/>
        </w:rPr>
        <w:t>Award Agreements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New Fortress Energy LLC</w:t>
      </w:r>
    </w:p>
    <w:p>
      <w:pPr>
        <w:spacing w:after="0" w:line="238" w:lineRule="auto"/>
        <w:rPr>
          <w:sz w:val="20"/>
          <w:szCs w:val="20"/>
          <w:color w:val="auto"/>
        </w:rPr>
      </w:pPr>
      <w:r>
        <w:rPr>
          <w:rFonts w:ascii="Arial" w:cs="Arial" w:eastAsia="Arial" w:hAnsi="Arial"/>
          <w:sz w:val="22"/>
          <w:szCs w:val="22"/>
          <w:color w:val="auto"/>
        </w:rPr>
        <w:t>March 5,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1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We have also examined originals or copies, certified or otherwise identified to our satisfaction, of such records of the Company and Selling Shareholders and such agreements, certificates and receipts of public officials, certificates of officers or other representatives of the Company and Selling Shareholders and others, and such other documents as we have deemed necessary or appropriate as a basis for the opinions stated below.</w:t>
      </w:r>
    </w:p>
    <w:p>
      <w:pPr>
        <w:spacing w:after="0" w:line="212"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color w:val="auto"/>
        </w:rPr>
        <w:t>In our examination, we have assumed the genuineness of all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We have also assumed that LLC Agreement is the only limited liability company agreement, as defined under the Delaware Limited Liability Company Act (the “</w:t>
      </w:r>
      <w:r>
        <w:rPr>
          <w:rFonts w:ascii="Arial" w:cs="Arial" w:eastAsia="Arial" w:hAnsi="Arial"/>
          <w:sz w:val="19"/>
          <w:szCs w:val="19"/>
          <w:u w:val="single" w:color="auto"/>
          <w:color w:val="auto"/>
        </w:rPr>
        <w:t>DLLCA</w:t>
      </w:r>
      <w:r>
        <w:rPr>
          <w:rFonts w:ascii="Arial" w:cs="Arial" w:eastAsia="Arial" w:hAnsi="Arial"/>
          <w:sz w:val="19"/>
          <w:szCs w:val="19"/>
          <w:color w:val="auto"/>
        </w:rPr>
        <w:t>”), of the Company. Further, we have assumed that the Company has, and since the time of its formation has had, at least one validly admitted and existing member of the Company and (i) no procedures have been instituted for, and no other event has occurred, including, without limitation, any action taken by the Company or its Board of Directors or members, that would result in the liquidation, dissolution or winding-up of the Company, (ii) no event has occurred that has adversely affected the good standing of the Company under the laws of its jurisdiction of formation, and the Company has taken all actions required by the laws of its jurisdiction of formation to maintain such good standing and (iii) no grounds exist for the revocation or forfeiture of the Company’s Certificate of Formation. As to any facts relevant to the opinions stated herein that we did not independently establish or verify, we have relied upon statements and representations of officers and other representatives of the Company and the Selling Shareholders and others and of public officials, including those in the Secretary’s Certificate.</w:t>
      </w:r>
    </w:p>
    <w:p>
      <w:pPr>
        <w:spacing w:after="0" w:line="184"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We do not express any opinion with respect to the laws of any jurisdiction other than (i) the laws of the State of New York and (ii) the DLLCA (all of the foregoing being referred to as “</w:t>
      </w:r>
      <w:r>
        <w:rPr>
          <w:rFonts w:ascii="Arial" w:cs="Arial" w:eastAsia="Arial" w:hAnsi="Arial"/>
          <w:sz w:val="22"/>
          <w:szCs w:val="22"/>
          <w:u w:val="single" w:color="auto"/>
          <w:color w:val="auto"/>
        </w:rPr>
        <w:t>Opined-on Law</w:t>
      </w:r>
      <w:r>
        <w:rPr>
          <w:rFonts w:ascii="Arial" w:cs="Arial" w:eastAsia="Arial" w:hAnsi="Arial"/>
          <w:sz w:val="22"/>
          <w:szCs w:val="22"/>
          <w:color w:val="auto"/>
        </w:rPr>
        <w:t>”).</w:t>
      </w:r>
    </w:p>
    <w:p>
      <w:pPr>
        <w:spacing w:after="0" w:line="200"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the Plan, the NFI LLC Agreement, the Award Agreements, the Depositary Agreements, the Indenture and the supplemental indentures and officer’s certificates establishing the terms of the Debt Securities pursuant thereto, the Warrant Agreements and any applicable underwriting or purchase agreement.</w:t>
      </w:r>
    </w:p>
    <w:p>
      <w:pPr>
        <w:spacing w:after="0" w:line="161"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The opinions stated in paragraphs 1 through 7 below presume that all of the following (collectively, the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conditions</w:t>
      </w:r>
      <w:r>
        <w:rPr>
          <w:rFonts w:ascii="Arial" w:cs="Arial" w:eastAsia="Arial" w:hAnsi="Arial"/>
          <w:sz w:val="19"/>
          <w:szCs w:val="19"/>
          <w:color w:val="auto"/>
        </w:rPr>
        <w:t>”)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limited liability company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Formation and the LLC Agreement so as not to violate any applicable law, the Certificate of Formation or the LLC Agreement, or result in a default under or breach of any agreement or instrument binding upon the Company, and so as to comply with any requirement or restriction imposed by any court or governmental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New Fortress Energy LLC</w:t>
      </w:r>
    </w:p>
    <w:p>
      <w:pPr>
        <w:spacing w:after="0" w:line="238" w:lineRule="auto"/>
        <w:rPr>
          <w:sz w:val="20"/>
          <w:szCs w:val="20"/>
          <w:color w:val="auto"/>
        </w:rPr>
      </w:pPr>
      <w:r>
        <w:rPr>
          <w:rFonts w:ascii="Arial" w:cs="Arial" w:eastAsia="Arial" w:hAnsi="Arial"/>
          <w:sz w:val="22"/>
          <w:szCs w:val="22"/>
          <w:color w:val="auto"/>
        </w:rPr>
        <w:t>March 5,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Based upon the foregoing and subject to the qualifications and assumptions stated herein, we are of the opinion that:</w:t>
      </w:r>
    </w:p>
    <w:p>
      <w:pPr>
        <w:spacing w:after="0" w:line="268" w:lineRule="exact"/>
        <w:rPr>
          <w:sz w:val="20"/>
          <w:szCs w:val="20"/>
          <w:color w:val="auto"/>
        </w:rPr>
      </w:pPr>
    </w:p>
    <w:p>
      <w:pPr>
        <w:ind w:right="20" w:firstLine="1305"/>
        <w:spacing w:after="0" w:line="246" w:lineRule="auto"/>
        <w:tabs>
          <w:tab w:leader="none" w:pos="2049" w:val="left"/>
        </w:tabs>
        <w:numPr>
          <w:ilvl w:val="0"/>
          <w:numId w:val="125"/>
        </w:numPr>
        <w:rPr>
          <w:rFonts w:ascii="Arial" w:cs="Arial" w:eastAsia="Arial" w:hAnsi="Arial"/>
          <w:sz w:val="21"/>
          <w:szCs w:val="21"/>
          <w:color w:val="auto"/>
        </w:rPr>
      </w:pPr>
      <w:r>
        <w:rPr>
          <w:rFonts w:ascii="Arial" w:cs="Arial" w:eastAsia="Arial" w:hAnsi="Arial"/>
          <w:sz w:val="21"/>
          <w:szCs w:val="21"/>
          <w:color w:val="auto"/>
        </w:rPr>
        <w:t>With respect to any Class A Shares offered by the Company, including any Indeterminate Securities constituting Class A Shares (the “</w:t>
      </w:r>
      <w:r>
        <w:rPr>
          <w:rFonts w:ascii="Arial" w:cs="Arial" w:eastAsia="Arial" w:hAnsi="Arial"/>
          <w:sz w:val="21"/>
          <w:szCs w:val="21"/>
          <w:u w:val="single" w:color="auto"/>
          <w:color w:val="auto"/>
        </w:rPr>
        <w:t>Offered Class A Shares</w:t>
      </w:r>
      <w:r>
        <w:rPr>
          <w:rFonts w:ascii="Arial" w:cs="Arial" w:eastAsia="Arial" w:hAnsi="Arial"/>
          <w:sz w:val="21"/>
          <w:szCs w:val="21"/>
          <w:color w:val="auto"/>
        </w:rPr>
        <w:t>”) when (a) the general conditions shall have been satisfied, and (b) the Offered Class A Shares are registered in the Company’s share registry and delivered upon payment of the agreed-upon consideration therefor, the Offered Class A Shares, when issued and sold or otherwise distributed in accordance with the provisions of the applicable Transaction Document, will be validly issued and fully paid, and under the DLLCA, the holders of the Offered Class A Shares will have no obligation to make further payments for the purchase of such Offered Class A Shares or contributions to the Company solely by reason of their ownership of such Offered Class A Shares except for their obligation to repay any funds wrongfully distributed to them.</w:t>
      </w:r>
    </w:p>
    <w:p>
      <w:pPr>
        <w:spacing w:after="0" w:line="207" w:lineRule="exact"/>
        <w:rPr>
          <w:rFonts w:ascii="Arial" w:cs="Arial" w:eastAsia="Arial" w:hAnsi="Arial"/>
          <w:sz w:val="21"/>
          <w:szCs w:val="21"/>
          <w:color w:val="auto"/>
        </w:rPr>
      </w:pPr>
    </w:p>
    <w:p>
      <w:pPr>
        <w:ind w:right="300" w:firstLine="1305"/>
        <w:spacing w:after="0" w:line="236" w:lineRule="auto"/>
        <w:tabs>
          <w:tab w:leader="none" w:pos="199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When delivered in accordance with the Plan and applicable award agreement, the RSU Secondary Shares being sold by the Selling Shareholders will be validly issued and fully paid, and under the DLLCA, the holders of the RSU Secondary Shares will have no obligation to make further payments for the purchase of such RSU Secondary Shares or contributions to the Company solely by reason of their ownership of such RSU Secondary Shares except for their obligation to repay any funds wrongfully distributed to them.</w:t>
      </w:r>
    </w:p>
    <w:p>
      <w:pPr>
        <w:spacing w:after="0" w:line="214" w:lineRule="exact"/>
        <w:rPr>
          <w:rFonts w:ascii="Arial" w:cs="Arial" w:eastAsia="Arial" w:hAnsi="Arial"/>
          <w:sz w:val="22"/>
          <w:szCs w:val="22"/>
          <w:color w:val="auto"/>
        </w:rPr>
      </w:pPr>
    </w:p>
    <w:p>
      <w:pPr>
        <w:ind w:right="80" w:firstLine="1305"/>
        <w:spacing w:after="0" w:line="282" w:lineRule="auto"/>
        <w:tabs>
          <w:tab w:leader="none" w:pos="199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When the Exchange Secondary Shares being sold by the Selling Shareholders are issued in accordance with the terms of the NFI LLC Agreement in exchange for NFI common units, the Exchange Secondary Shares will be validly issued and fully paid, and under the DLLCA, the holders of the Exchange Secondary Shares will have no obligation to make further payments for the purchase of such Exchange Secondary Shares or contributions to the Company solely by reason of their ownership of such Exchange Secondary Shares except for their obligation to repay any funds wrongfully distributed to them.</w:t>
      </w:r>
    </w:p>
    <w:p>
      <w:pPr>
        <w:spacing w:after="0" w:line="174" w:lineRule="exact"/>
        <w:rPr>
          <w:rFonts w:ascii="Arial" w:cs="Arial" w:eastAsia="Arial" w:hAnsi="Arial"/>
          <w:sz w:val="19"/>
          <w:szCs w:val="19"/>
          <w:color w:val="auto"/>
        </w:rPr>
      </w:pPr>
    </w:p>
    <w:p>
      <w:pPr>
        <w:ind w:firstLine="1305"/>
        <w:spacing w:after="0" w:line="245" w:lineRule="auto"/>
        <w:tabs>
          <w:tab w:leader="none" w:pos="1999" w:val="left"/>
        </w:tabs>
        <w:numPr>
          <w:ilvl w:val="0"/>
          <w:numId w:val="125"/>
        </w:numPr>
        <w:rPr>
          <w:rFonts w:ascii="Arial" w:cs="Arial" w:eastAsia="Arial" w:hAnsi="Arial"/>
          <w:sz w:val="21"/>
          <w:szCs w:val="21"/>
          <w:color w:val="auto"/>
        </w:rPr>
      </w:pPr>
      <w:r>
        <w:rPr>
          <w:rFonts w:ascii="Arial" w:cs="Arial" w:eastAsia="Arial" w:hAnsi="Arial"/>
          <w:sz w:val="21"/>
          <w:szCs w:val="21"/>
          <w:color w:val="auto"/>
        </w:rPr>
        <w:t>With respect to the shares of any series of Preferred Shares offered by the Company, including any Indeterminate Securities constituting Preferred Shares of such series (the “</w:t>
      </w:r>
      <w:r>
        <w:rPr>
          <w:rFonts w:ascii="Arial" w:cs="Arial" w:eastAsia="Arial" w:hAnsi="Arial"/>
          <w:sz w:val="21"/>
          <w:szCs w:val="21"/>
          <w:u w:val="single" w:color="auto"/>
          <w:color w:val="auto"/>
        </w:rPr>
        <w:t>Offered Preferred Shares</w:t>
      </w:r>
      <w:r>
        <w:rPr>
          <w:rFonts w:ascii="Arial" w:cs="Arial" w:eastAsia="Arial" w:hAnsi="Arial"/>
          <w:sz w:val="21"/>
          <w:szCs w:val="21"/>
          <w:color w:val="auto"/>
        </w:rPr>
        <w:t>”), when (a) the general conditions shall have been satisfied, (b) the terms of the Offered Preferred Shares and of their issuance and sale have been duly established by the Board of Directors in conformity with the LLC Agreement and the DLLCA, and (c) the Offered Preferred Shares are registered in the Company’s share registry and delivered upon payment of the agreed-upon consideration therefor, the Offered Preferred Shares, when issued and sold or otherwise distributed in accordance with the provisions of the applicable Transaction Document, will be validly issued and fully paid, and under the DLLCA, the holders of the Offered Preferred Shares will have no obligation to make further payments for the purchase of such Offered Preferred Shares or contributions to the Company solely by reason of their ownership of such Offered Preferred Shares except for their obligation to repay any funds wrongfully distributed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New Fortress Energy LLC</w:t>
      </w:r>
    </w:p>
    <w:p>
      <w:pPr>
        <w:spacing w:after="0" w:line="238" w:lineRule="auto"/>
        <w:rPr>
          <w:sz w:val="20"/>
          <w:szCs w:val="20"/>
          <w:color w:val="auto"/>
        </w:rPr>
      </w:pPr>
      <w:r>
        <w:rPr>
          <w:rFonts w:ascii="Arial" w:cs="Arial" w:eastAsia="Arial" w:hAnsi="Arial"/>
          <w:sz w:val="22"/>
          <w:szCs w:val="22"/>
          <w:color w:val="auto"/>
        </w:rPr>
        <w:t>March 5,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15" w:lineRule="exact"/>
        <w:rPr>
          <w:sz w:val="20"/>
          <w:szCs w:val="20"/>
          <w:color w:val="auto"/>
        </w:rPr>
      </w:pPr>
    </w:p>
    <w:p>
      <w:pPr>
        <w:ind w:right="40" w:firstLine="1305"/>
        <w:spacing w:after="0" w:line="274" w:lineRule="auto"/>
        <w:tabs>
          <w:tab w:leader="none" w:pos="199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With respect to any Depositary Shares offered by the Company, including any Indeterminate Securities constituting Depositary Shares (the “</w:t>
      </w:r>
      <w:r>
        <w:rPr>
          <w:rFonts w:ascii="Arial" w:cs="Arial" w:eastAsia="Arial" w:hAnsi="Arial"/>
          <w:sz w:val="19"/>
          <w:szCs w:val="19"/>
          <w:u w:val="single" w:color="auto"/>
          <w:color w:val="auto"/>
        </w:rPr>
        <w:t>Offered Depositary Shares</w:t>
      </w:r>
      <w:r>
        <w:rPr>
          <w:rFonts w:ascii="Arial" w:cs="Arial" w:eastAsia="Arial" w:hAnsi="Arial"/>
          <w:sz w:val="19"/>
          <w:szCs w:val="19"/>
          <w:color w:val="auto"/>
        </w:rPr>
        <w:t>”), when (a) the general conditions shall have been satisfied, (b) the Preferred Shares relating to such Offered Depositary Shares have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Preferred Shares with the Bank Depositary in accordance with the applicable Depositary Agreement, such Depositary Agreement will constitute a legally valid and binding obligation of the Company, enforceable against the Company in accordance with its respective terms under the laws of the State of New York.</w:t>
      </w:r>
    </w:p>
    <w:p>
      <w:pPr>
        <w:spacing w:after="0" w:line="185" w:lineRule="exact"/>
        <w:rPr>
          <w:rFonts w:ascii="Arial" w:cs="Arial" w:eastAsia="Arial" w:hAnsi="Arial"/>
          <w:sz w:val="19"/>
          <w:szCs w:val="19"/>
          <w:color w:val="auto"/>
        </w:rPr>
      </w:pPr>
    </w:p>
    <w:p>
      <w:pPr>
        <w:ind w:firstLine="1305"/>
        <w:spacing w:after="0" w:line="273" w:lineRule="auto"/>
        <w:tabs>
          <w:tab w:leader="none" w:pos="199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With respect to any series of Debt Securities offered by the Company, including any Indeterminate Securities constituting Debt Securities of such series (the “</w:t>
      </w:r>
      <w:r>
        <w:rPr>
          <w:rFonts w:ascii="Arial" w:cs="Arial" w:eastAsia="Arial" w:hAnsi="Arial"/>
          <w:sz w:val="19"/>
          <w:szCs w:val="19"/>
          <w:u w:val="single" w:color="auto"/>
          <w:color w:val="auto"/>
        </w:rPr>
        <w:t>Offered Debt Securities</w:t>
      </w:r>
      <w:r>
        <w:rPr>
          <w:rFonts w:ascii="Arial" w:cs="Arial" w:eastAsia="Arial" w:hAnsi="Arial"/>
          <w:sz w:val="19"/>
          <w:szCs w:val="19"/>
          <w:color w:val="auto"/>
        </w:rPr>
        <w:t>”), when (a) the general conditions shall have been satisfied, (b) the Indenture has been qualified under the Trust Indenture Act of 1939, (c) a Form T-1 with respect to the trustee under the Indenture has been filed with the Commission, (d) the issuance, sale and terms of the Offered Debt Securities and related matters have been approved and established in conformity with the applicable Transaction Documents and (e)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firstLine="1305"/>
        <w:spacing w:after="0" w:line="277" w:lineRule="auto"/>
        <w:tabs>
          <w:tab w:leader="none" w:pos="199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With respect to any Warrants offered by the Company (the “</w:t>
      </w:r>
      <w:r>
        <w:rPr>
          <w:rFonts w:ascii="Arial" w:cs="Arial" w:eastAsia="Arial" w:hAnsi="Arial"/>
          <w:sz w:val="19"/>
          <w:szCs w:val="19"/>
          <w:u w:val="single" w:color="auto"/>
          <w:color w:val="auto"/>
        </w:rPr>
        <w:t>Offered Warrants</w:t>
      </w:r>
      <w:r>
        <w:rPr>
          <w:rFonts w:ascii="Arial" w:cs="Arial" w:eastAsia="Arial" w:hAnsi="Arial"/>
          <w:sz w:val="19"/>
          <w:szCs w:val="19"/>
          <w:color w:val="auto"/>
        </w:rPr>
        <w:t>”), when (a) the general conditions shall have been satisfied, (b) the Class A Shares, Preferred Shares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 upon payment of the agreed-upon consideration thereof, will constitute valid and binding obligations of the Company, enforceable against the Company in accordance with their respective terms under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New Fortress Energy LLC</w:t>
      </w:r>
    </w:p>
    <w:p>
      <w:pPr>
        <w:spacing w:after="0" w:line="238" w:lineRule="auto"/>
        <w:rPr>
          <w:sz w:val="20"/>
          <w:szCs w:val="20"/>
          <w:color w:val="auto"/>
        </w:rPr>
      </w:pPr>
      <w:r>
        <w:rPr>
          <w:rFonts w:ascii="Arial" w:cs="Arial" w:eastAsia="Arial" w:hAnsi="Arial"/>
          <w:sz w:val="22"/>
          <w:szCs w:val="22"/>
          <w:color w:val="auto"/>
        </w:rPr>
        <w:t>March 5,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opinions stated herein are subject to the following qualifications:</w:t>
      </w:r>
    </w:p>
    <w:p>
      <w:pPr>
        <w:spacing w:after="0" w:line="233" w:lineRule="exact"/>
        <w:rPr>
          <w:sz w:val="20"/>
          <w:szCs w:val="20"/>
          <w:color w:val="auto"/>
        </w:rPr>
      </w:pPr>
    </w:p>
    <w:p>
      <w:pPr>
        <w:ind w:firstLine="1305"/>
        <w:spacing w:after="0" w:line="238" w:lineRule="auto"/>
        <w:tabs>
          <w:tab w:leader="none" w:pos="207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effect on the opinions stated herein of any applicable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212" w:lineRule="exact"/>
        <w:rPr>
          <w:rFonts w:ascii="Arial" w:cs="Arial" w:eastAsia="Arial" w:hAnsi="Arial"/>
          <w:sz w:val="22"/>
          <w:szCs w:val="22"/>
          <w:color w:val="auto"/>
        </w:rPr>
      </w:pPr>
    </w:p>
    <w:p>
      <w:pPr>
        <w:jc w:val="both"/>
        <w:ind w:right="80" w:firstLine="1305"/>
        <w:spacing w:after="0" w:line="238" w:lineRule="auto"/>
        <w:tabs>
          <w:tab w:leader="none" w:pos="208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212" w:lineRule="exact"/>
        <w:rPr>
          <w:rFonts w:ascii="Arial" w:cs="Arial" w:eastAsia="Arial" w:hAnsi="Arial"/>
          <w:sz w:val="22"/>
          <w:szCs w:val="22"/>
          <w:color w:val="auto"/>
        </w:rPr>
      </w:pPr>
    </w:p>
    <w:p>
      <w:pPr>
        <w:ind w:right="400" w:firstLine="1305"/>
        <w:spacing w:after="0"/>
        <w:tabs>
          <w:tab w:leader="none" w:pos="207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213" w:lineRule="exact"/>
        <w:rPr>
          <w:rFonts w:ascii="Arial" w:cs="Arial" w:eastAsia="Arial" w:hAnsi="Arial"/>
          <w:sz w:val="22"/>
          <w:szCs w:val="22"/>
          <w:color w:val="auto"/>
        </w:rPr>
      </w:pPr>
    </w:p>
    <w:p>
      <w:pPr>
        <w:ind w:right="240" w:firstLine="1305"/>
        <w:spacing w:after="0" w:line="236" w:lineRule="auto"/>
        <w:tabs>
          <w:tab w:leader="none" w:pos="208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214" w:lineRule="exact"/>
        <w:rPr>
          <w:rFonts w:ascii="Arial" w:cs="Arial" w:eastAsia="Arial" w:hAnsi="Arial"/>
          <w:sz w:val="22"/>
          <w:szCs w:val="22"/>
          <w:color w:val="auto"/>
        </w:rPr>
      </w:pPr>
    </w:p>
    <w:p>
      <w:pPr>
        <w:ind w:right="280" w:firstLine="1305"/>
        <w:spacing w:after="0"/>
        <w:tabs>
          <w:tab w:leader="none" w:pos="207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enforceability of any provision of any Transaction Document to the extent that such section purports to bind any party to the exclusive jurisdiction of any particular federal court or courts;</w:t>
      </w:r>
    </w:p>
    <w:p>
      <w:pPr>
        <w:spacing w:after="0" w:line="213" w:lineRule="exact"/>
        <w:rPr>
          <w:rFonts w:ascii="Arial" w:cs="Arial" w:eastAsia="Arial" w:hAnsi="Arial"/>
          <w:sz w:val="22"/>
          <w:szCs w:val="22"/>
          <w:color w:val="auto"/>
        </w:rPr>
      </w:pPr>
    </w:p>
    <w:p>
      <w:pPr>
        <w:ind w:right="40" w:firstLine="1305"/>
        <w:spacing w:after="0" w:line="236" w:lineRule="auto"/>
        <w:tabs>
          <w:tab w:leader="none" w:pos="205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214" w:lineRule="exact"/>
        <w:rPr>
          <w:rFonts w:ascii="Arial" w:cs="Arial" w:eastAsia="Arial" w:hAnsi="Arial"/>
          <w:sz w:val="22"/>
          <w:szCs w:val="22"/>
          <w:color w:val="auto"/>
        </w:rPr>
      </w:pPr>
    </w:p>
    <w:p>
      <w:pPr>
        <w:ind w:right="140" w:firstLine="1305"/>
        <w:spacing w:after="0" w:line="238" w:lineRule="auto"/>
        <w:tabs>
          <w:tab w:leader="none" w:pos="208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212" w:lineRule="exact"/>
        <w:rPr>
          <w:rFonts w:ascii="Arial" w:cs="Arial" w:eastAsia="Arial" w:hAnsi="Arial"/>
          <w:sz w:val="22"/>
          <w:szCs w:val="22"/>
          <w:color w:val="auto"/>
        </w:rPr>
      </w:pPr>
    </w:p>
    <w:p>
      <w:pPr>
        <w:ind w:right="80" w:firstLine="1305"/>
        <w:spacing w:after="0" w:line="251" w:lineRule="auto"/>
        <w:tabs>
          <w:tab w:leader="none" w:pos="208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we have assumed that the choice of New York law to govern the Indenture and any supplemental indenture thereto is a valid and legal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New Fortress Energy LLC</w:t>
      </w:r>
    </w:p>
    <w:p>
      <w:pPr>
        <w:spacing w:after="0" w:line="238" w:lineRule="auto"/>
        <w:rPr>
          <w:sz w:val="20"/>
          <w:szCs w:val="20"/>
          <w:color w:val="auto"/>
        </w:rPr>
      </w:pPr>
      <w:r>
        <w:rPr>
          <w:rFonts w:ascii="Arial" w:cs="Arial" w:eastAsia="Arial" w:hAnsi="Arial"/>
          <w:sz w:val="22"/>
          <w:szCs w:val="22"/>
          <w:color w:val="auto"/>
        </w:rPr>
        <w:t>March 5,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215" w:lineRule="exact"/>
        <w:rPr>
          <w:sz w:val="20"/>
          <w:szCs w:val="20"/>
          <w:color w:val="auto"/>
        </w:rPr>
      </w:pPr>
    </w:p>
    <w:p>
      <w:pPr>
        <w:ind w:right="960" w:firstLine="1305"/>
        <w:spacing w:after="0" w:line="274" w:lineRule="auto"/>
        <w:tabs>
          <w:tab w:leader="none" w:pos="204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we have assumed that the laws of the State of New York will be chosen to govern any Depositary Agreements and Warrant Agreements and that such choice is and will be a valid and legal provision;</w:t>
      </w:r>
    </w:p>
    <w:p>
      <w:pPr>
        <w:spacing w:after="0" w:line="177" w:lineRule="exact"/>
        <w:rPr>
          <w:rFonts w:ascii="Arial" w:cs="Arial" w:eastAsia="Arial" w:hAnsi="Arial"/>
          <w:sz w:val="21"/>
          <w:szCs w:val="21"/>
          <w:color w:val="auto"/>
        </w:rPr>
      </w:pPr>
    </w:p>
    <w:p>
      <w:pPr>
        <w:ind w:firstLine="1305"/>
        <w:spacing w:after="0" w:line="238" w:lineRule="auto"/>
        <w:tabs>
          <w:tab w:leader="none" w:pos="204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we have assumed that the Indenture will be duly authorized, executed and delivered by the trustee in substantially the form reviewed by us, and that any Debt Securities and Warrants that may be issued will be manually authenticated, signed or countersigned, as the case may be, by duly authorized officers of any trustee, warrant agent, subscription agent, purchase contract agent and purchase unit agent, as the case may be; and</w:t>
      </w:r>
    </w:p>
    <w:p>
      <w:pPr>
        <w:spacing w:after="0" w:line="212" w:lineRule="exact"/>
        <w:rPr>
          <w:rFonts w:ascii="Arial" w:cs="Arial" w:eastAsia="Arial" w:hAnsi="Arial"/>
          <w:sz w:val="22"/>
          <w:szCs w:val="22"/>
          <w:color w:val="auto"/>
        </w:rPr>
      </w:pPr>
    </w:p>
    <w:p>
      <w:pPr>
        <w:ind w:right="120" w:firstLine="1305"/>
        <w:spacing w:after="0" w:line="238" w:lineRule="auto"/>
        <w:tabs>
          <w:tab w:leader="none" w:pos="208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addition, in rendering the foregoing opinions we have assumed that:</w:t>
      </w:r>
    </w:p>
    <w:p>
      <w:pPr>
        <w:spacing w:after="0" w:line="233" w:lineRule="exact"/>
        <w:rPr>
          <w:sz w:val="20"/>
          <w:szCs w:val="20"/>
          <w:color w:val="auto"/>
        </w:rPr>
      </w:pPr>
    </w:p>
    <w:p>
      <w:pPr>
        <w:ind w:right="20" w:firstLine="1305"/>
        <w:spacing w:after="0" w:line="279" w:lineRule="auto"/>
        <w:tabs>
          <w:tab w:leader="none" w:pos="207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neither the execution and delivery by the Company of the Transaction Documents to which the Company is a party nor the performance by the Company of its obligations thereunder, including the issuance and sale of the applicable Securities: (i) constitutes or will constitute a violation of, or a default under, any lease, indenture, instrument or other agreement to which the Company or its property is subject, (ii) contravened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w:t>
      </w:r>
    </w:p>
    <w:p>
      <w:pPr>
        <w:spacing w:after="0" w:line="177" w:lineRule="exact"/>
        <w:rPr>
          <w:rFonts w:ascii="Arial" w:cs="Arial" w:eastAsia="Arial" w:hAnsi="Arial"/>
          <w:sz w:val="19"/>
          <w:szCs w:val="19"/>
          <w:color w:val="auto"/>
        </w:rPr>
      </w:pPr>
    </w:p>
    <w:p>
      <w:pPr>
        <w:ind w:right="220" w:firstLine="1305"/>
        <w:spacing w:after="0" w:line="238" w:lineRule="auto"/>
        <w:tabs>
          <w:tab w:leader="none" w:pos="208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neither the execution and delivery by the Company of the Transaction Documents to which the Company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212" w:lineRule="exact"/>
        <w:rPr>
          <w:rFonts w:ascii="Arial" w:cs="Arial" w:eastAsia="Arial" w:hAnsi="Arial"/>
          <w:sz w:val="22"/>
          <w:szCs w:val="22"/>
          <w:color w:val="auto"/>
        </w:rPr>
      </w:pPr>
    </w:p>
    <w:p>
      <w:pPr>
        <w:ind w:right="40" w:firstLine="1305"/>
        <w:spacing w:after="0" w:line="251" w:lineRule="auto"/>
        <w:tabs>
          <w:tab w:leader="none" w:pos="207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with respect to our opinion set forth in paragraph 2 and 3 above, the Secondary Shares have been registered in the Company’s share registry; and</w:t>
      </w:r>
    </w:p>
    <w:p>
      <w:pPr>
        <w:spacing w:after="0" w:line="200" w:lineRule="exact"/>
        <w:rPr>
          <w:rFonts w:ascii="Arial" w:cs="Arial" w:eastAsia="Arial" w:hAnsi="Arial"/>
          <w:sz w:val="22"/>
          <w:szCs w:val="22"/>
          <w:color w:val="auto"/>
        </w:rPr>
      </w:pPr>
    </w:p>
    <w:p>
      <w:pPr>
        <w:ind w:right="380" w:firstLine="1305"/>
        <w:spacing w:after="0"/>
        <w:tabs>
          <w:tab w:leader="none" w:pos="208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with respect to our opinion set forth in paragraph 2 above, we have assumed that each award agreement under which restricted stock units are granted pursuant to the Plan were granted consistent with the Plan and the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ind w:firstLine="1297"/>
        <w:spacing w:after="0" w:line="248" w:lineRule="auto"/>
        <w:rPr>
          <w:sz w:val="20"/>
          <w:szCs w:val="20"/>
          <w:color w:val="auto"/>
        </w:rPr>
      </w:pPr>
      <w:r>
        <w:rPr>
          <w:rFonts w:ascii="Arial" w:cs="Arial" w:eastAsia="Arial" w:hAnsi="Arial"/>
          <w:sz w:val="21"/>
          <w:szCs w:val="21"/>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We consent to the reference to our firm under the caption “Experts” in the Registration Statement (Form S-3 No. 333-) and related Prospectus of New Fortress Energy LLC for the registration of Class A Shares, Preferred Shares, Depositary Shares, Debt Securities, Warrants and 145,050,664 Class A Shares Offered by Selling Securityholders and to the incorporation by reference therein of our report date March 4, 2020 with respect to the consolidated financial statements of New Fortress Energy LLC included in its Annual Report (Form 10-K) for the year ended December 31, 2019 and the financial statement schedules of New Fortress Energy LLC included therein, filed with the Securities and Exchange Commission.</w:t>
      </w:r>
    </w:p>
    <w:p>
      <w:pPr>
        <w:spacing w:after="0" w:line="18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300"/>
        <w:spacing w:after="0"/>
        <w:rPr>
          <w:sz w:val="20"/>
          <w:szCs w:val="20"/>
          <w:color w:val="auto"/>
        </w:rPr>
      </w:pPr>
      <w:r>
        <w:rPr>
          <w:rFonts w:ascii="Arial" w:cs="Arial" w:eastAsia="Arial" w:hAnsi="Arial"/>
          <w:sz w:val="22"/>
          <w:szCs w:val="22"/>
          <w:color w:val="auto"/>
        </w:rPr>
        <w:t>__________________________</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spacing w:after="0" w:line="231" w:lineRule="auto"/>
        <w:rPr>
          <w:sz w:val="20"/>
          <w:szCs w:val="20"/>
          <w:color w:val="auto"/>
        </w:rPr>
      </w:pPr>
      <w:r>
        <w:rPr>
          <w:rFonts w:ascii="Arial" w:cs="Arial" w:eastAsia="Arial" w:hAnsi="Arial"/>
          <w:sz w:val="22"/>
          <w:szCs w:val="22"/>
          <w:color w:val="auto"/>
        </w:rPr>
        <w:t>Check if an Application to Determine Eligibility of</w:t>
      </w:r>
    </w:p>
    <w:p>
      <w:pPr>
        <w:jc w:val="center"/>
        <w:spacing w:after="0" w:line="230" w:lineRule="auto"/>
        <w:rPr>
          <w:sz w:val="20"/>
          <w:szCs w:val="20"/>
          <w:color w:val="auto"/>
        </w:rPr>
      </w:pPr>
      <w:r>
        <w:rPr>
          <w:rFonts w:ascii="Arial" w:cs="Arial" w:eastAsia="Arial" w:hAnsi="Arial"/>
          <w:sz w:val="22"/>
          <w:szCs w:val="22"/>
          <w:color w:val="auto"/>
        </w:rPr>
        <w:t>a Trustee Pursuant to Section 305(b)(2)</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_______________________________________________________</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U.S. BANK NATIONAL ASSOCIATION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Trustee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31-0841368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I.R.S. Employer Identification No.</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320" w:type="dxa"/>
            <w:vAlign w:val="bottom"/>
            <w:tcBorders>
              <w:top w:val="single" w:sz="8" w:color="auto"/>
              <w:left w:val="single" w:sz="8" w:color="auto"/>
            </w:tcBorders>
          </w:tcPr>
          <w:p>
            <w:pPr>
              <w:jc w:val="center"/>
              <w:ind w:left="1345"/>
              <w:spacing w:after="0"/>
              <w:rPr>
                <w:sz w:val="20"/>
                <w:szCs w:val="20"/>
                <w:color w:val="auto"/>
              </w:rPr>
            </w:pPr>
            <w:r>
              <w:rPr>
                <w:rFonts w:ascii="Arial" w:cs="Arial" w:eastAsia="Arial" w:hAnsi="Arial"/>
                <w:sz w:val="18"/>
                <w:szCs w:val="18"/>
                <w:color w:val="auto"/>
                <w:w w:val="96"/>
              </w:rPr>
              <w:t>800 Nicollet Mall</w:t>
            </w:r>
          </w:p>
        </w:tc>
        <w:tc>
          <w:tcPr>
            <w:tcW w:w="1420" w:type="dxa"/>
            <w:vAlign w:val="bottom"/>
            <w:tcBorders>
              <w:top w:val="single" w:sz="8" w:color="auto"/>
              <w:right w:val="single" w:sz="8" w:color="auto"/>
            </w:tcBorders>
          </w:tcPr>
          <w:p>
            <w:pPr>
              <w:spacing w:after="0"/>
              <w:rPr>
                <w:sz w:val="22"/>
                <w:szCs w:val="22"/>
                <w:color w:val="auto"/>
              </w:rPr>
            </w:pPr>
          </w:p>
        </w:tc>
        <w:tc>
          <w:tcPr>
            <w:tcW w:w="5680" w:type="dxa"/>
            <w:vAlign w:val="bottom"/>
            <w:tcBorders>
              <w:top w:val="single" w:sz="8" w:color="auto"/>
              <w:right w:val="single" w:sz="8" w:color="auto"/>
            </w:tcBorders>
          </w:tcPr>
          <w:p>
            <w:pPr>
              <w:spacing w:after="0"/>
              <w:rPr>
                <w:sz w:val="22"/>
                <w:szCs w:val="22"/>
                <w:color w:val="auto"/>
              </w:rPr>
            </w:pPr>
          </w:p>
        </w:tc>
      </w:tr>
      <w:tr>
        <w:trPr>
          <w:trHeight w:val="230"/>
        </w:trPr>
        <w:tc>
          <w:tcPr>
            <w:tcW w:w="4320" w:type="dxa"/>
            <w:vAlign w:val="bottom"/>
            <w:tcBorders>
              <w:left w:val="single" w:sz="8" w:color="auto"/>
            </w:tcBorders>
          </w:tcPr>
          <w:p>
            <w:pPr>
              <w:jc w:val="center"/>
              <w:ind w:left="1325"/>
              <w:spacing w:after="0"/>
              <w:rPr>
                <w:sz w:val="20"/>
                <w:szCs w:val="20"/>
                <w:color w:val="auto"/>
              </w:rPr>
            </w:pPr>
            <w:r>
              <w:rPr>
                <w:rFonts w:ascii="Arial" w:cs="Arial" w:eastAsia="Arial" w:hAnsi="Arial"/>
                <w:sz w:val="18"/>
                <w:szCs w:val="18"/>
                <w:color w:val="auto"/>
                <w:w w:val="92"/>
              </w:rPr>
              <w:t>Minneapolis, Minnesota</w:t>
            </w:r>
          </w:p>
        </w:tc>
        <w:tc>
          <w:tcPr>
            <w:tcW w:w="142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tcPr>
          <w:p>
            <w:pPr>
              <w:jc w:val="right"/>
              <w:ind w:right="2550"/>
              <w:spacing w:after="0"/>
              <w:rPr>
                <w:sz w:val="20"/>
                <w:szCs w:val="20"/>
                <w:color w:val="auto"/>
              </w:rPr>
            </w:pPr>
            <w:r>
              <w:rPr>
                <w:rFonts w:ascii="Arial" w:cs="Arial" w:eastAsia="Arial" w:hAnsi="Arial"/>
                <w:sz w:val="18"/>
                <w:szCs w:val="18"/>
                <w:color w:val="auto"/>
              </w:rPr>
              <w:t>55402</w:t>
            </w:r>
          </w:p>
        </w:tc>
      </w:tr>
      <w:tr>
        <w:trPr>
          <w:trHeight w:val="34"/>
        </w:trPr>
        <w:tc>
          <w:tcPr>
            <w:tcW w:w="43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tcBorders>
          </w:tcPr>
          <w:p>
            <w:pPr>
              <w:jc w:val="center"/>
              <w:ind w:left="1325"/>
              <w:spacing w:after="0"/>
              <w:rPr>
                <w:sz w:val="20"/>
                <w:szCs w:val="20"/>
                <w:color w:val="auto"/>
              </w:rPr>
            </w:pPr>
            <w:r>
              <w:rPr>
                <w:rFonts w:ascii="Arial" w:cs="Arial" w:eastAsia="Arial" w:hAnsi="Arial"/>
                <w:sz w:val="18"/>
                <w:szCs w:val="18"/>
                <w:color w:val="auto"/>
                <w:w w:val="92"/>
              </w:rPr>
              <w:t>(Address of principal executive offices)</w:t>
            </w:r>
          </w:p>
        </w:tc>
        <w:tc>
          <w:tcPr>
            <w:tcW w:w="1420" w:type="dxa"/>
            <w:vAlign w:val="bottom"/>
            <w:tcBorders>
              <w:right w:val="single" w:sz="8" w:color="auto"/>
            </w:tcBorders>
          </w:tcPr>
          <w:p>
            <w:pPr>
              <w:spacing w:after="0"/>
              <w:rPr>
                <w:sz w:val="21"/>
                <w:szCs w:val="21"/>
                <w:color w:val="auto"/>
              </w:rPr>
            </w:pPr>
          </w:p>
        </w:tc>
        <w:tc>
          <w:tcPr>
            <w:tcW w:w="5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4"/>
        </w:trPr>
        <w:tc>
          <w:tcPr>
            <w:tcW w:w="43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465"/>
        </w:trPr>
        <w:tc>
          <w:tcPr>
            <w:tcW w:w="4320" w:type="dxa"/>
            <w:vAlign w:val="bottom"/>
          </w:tcPr>
          <w:p>
            <w:pPr>
              <w:spacing w:after="0"/>
              <w:rPr>
                <w:sz w:val="24"/>
                <w:szCs w:val="24"/>
                <w:color w:val="auto"/>
              </w:rPr>
            </w:pPr>
          </w:p>
        </w:tc>
        <w:tc>
          <w:tcPr>
            <w:tcW w:w="7100" w:type="dxa"/>
            <w:vAlign w:val="bottom"/>
            <w:gridSpan w:val="2"/>
          </w:tcPr>
          <w:p>
            <w:pPr>
              <w:jc w:val="center"/>
              <w:ind w:right="4230"/>
              <w:spacing w:after="0"/>
              <w:rPr>
                <w:sz w:val="20"/>
                <w:szCs w:val="20"/>
                <w:color w:val="auto"/>
              </w:rPr>
            </w:pPr>
            <w:r>
              <w:rPr>
                <w:rFonts w:ascii="Arial" w:cs="Arial" w:eastAsia="Arial" w:hAnsi="Arial"/>
                <w:sz w:val="22"/>
                <w:szCs w:val="22"/>
                <w:color w:val="auto"/>
                <w:w w:val="88"/>
              </w:rPr>
              <w:t>Richard Prokosch</w:t>
            </w:r>
          </w:p>
        </w:tc>
      </w:tr>
      <w:tr>
        <w:trPr>
          <w:trHeight w:val="243"/>
        </w:trPr>
        <w:tc>
          <w:tcPr>
            <w:tcW w:w="4320" w:type="dxa"/>
            <w:vAlign w:val="bottom"/>
          </w:tcPr>
          <w:p>
            <w:pPr>
              <w:spacing w:after="0"/>
              <w:rPr>
                <w:sz w:val="21"/>
                <w:szCs w:val="21"/>
                <w:color w:val="auto"/>
              </w:rPr>
            </w:pPr>
          </w:p>
        </w:tc>
        <w:tc>
          <w:tcPr>
            <w:tcW w:w="7100" w:type="dxa"/>
            <w:vAlign w:val="bottom"/>
            <w:gridSpan w:val="2"/>
          </w:tcPr>
          <w:p>
            <w:pPr>
              <w:jc w:val="center"/>
              <w:ind w:right="4210"/>
              <w:spacing w:after="0" w:line="243" w:lineRule="exact"/>
              <w:rPr>
                <w:sz w:val="20"/>
                <w:szCs w:val="20"/>
                <w:color w:val="auto"/>
              </w:rPr>
            </w:pPr>
            <w:r>
              <w:rPr>
                <w:rFonts w:ascii="Arial" w:cs="Arial" w:eastAsia="Arial" w:hAnsi="Arial"/>
                <w:sz w:val="22"/>
                <w:szCs w:val="22"/>
                <w:color w:val="auto"/>
                <w:w w:val="90"/>
              </w:rPr>
              <w:t>U.S. Bank National Association</w:t>
            </w:r>
          </w:p>
        </w:tc>
      </w:tr>
      <w:tr>
        <w:trPr>
          <w:trHeight w:val="243"/>
        </w:trPr>
        <w:tc>
          <w:tcPr>
            <w:tcW w:w="4320" w:type="dxa"/>
            <w:vAlign w:val="bottom"/>
          </w:tcPr>
          <w:p>
            <w:pPr>
              <w:spacing w:after="0"/>
              <w:rPr>
                <w:sz w:val="21"/>
                <w:szCs w:val="21"/>
                <w:color w:val="auto"/>
              </w:rPr>
            </w:pPr>
          </w:p>
        </w:tc>
        <w:tc>
          <w:tcPr>
            <w:tcW w:w="7100" w:type="dxa"/>
            <w:vAlign w:val="bottom"/>
            <w:gridSpan w:val="2"/>
          </w:tcPr>
          <w:p>
            <w:pPr>
              <w:jc w:val="center"/>
              <w:ind w:right="4210"/>
              <w:spacing w:after="0" w:line="243" w:lineRule="exact"/>
              <w:rPr>
                <w:sz w:val="20"/>
                <w:szCs w:val="20"/>
                <w:color w:val="auto"/>
              </w:rPr>
            </w:pPr>
            <w:r>
              <w:rPr>
                <w:rFonts w:ascii="Arial" w:cs="Arial" w:eastAsia="Arial" w:hAnsi="Arial"/>
                <w:sz w:val="22"/>
                <w:szCs w:val="22"/>
                <w:color w:val="auto"/>
                <w:w w:val="91"/>
              </w:rPr>
              <w:t>60 Livingston Avenue</w:t>
            </w:r>
          </w:p>
        </w:tc>
      </w:tr>
      <w:tr>
        <w:trPr>
          <w:trHeight w:val="243"/>
        </w:trPr>
        <w:tc>
          <w:tcPr>
            <w:tcW w:w="4320" w:type="dxa"/>
            <w:vAlign w:val="bottom"/>
          </w:tcPr>
          <w:p>
            <w:pPr>
              <w:spacing w:after="0"/>
              <w:rPr>
                <w:sz w:val="21"/>
                <w:szCs w:val="21"/>
                <w:color w:val="auto"/>
              </w:rPr>
            </w:pPr>
          </w:p>
        </w:tc>
        <w:tc>
          <w:tcPr>
            <w:tcW w:w="7100" w:type="dxa"/>
            <w:vAlign w:val="bottom"/>
            <w:gridSpan w:val="2"/>
          </w:tcPr>
          <w:p>
            <w:pPr>
              <w:jc w:val="center"/>
              <w:ind w:right="4210"/>
              <w:spacing w:after="0" w:line="243" w:lineRule="exact"/>
              <w:rPr>
                <w:sz w:val="20"/>
                <w:szCs w:val="20"/>
                <w:color w:val="auto"/>
              </w:rPr>
            </w:pPr>
            <w:r>
              <w:rPr>
                <w:rFonts w:ascii="Arial" w:cs="Arial" w:eastAsia="Arial" w:hAnsi="Arial"/>
                <w:sz w:val="22"/>
                <w:szCs w:val="22"/>
                <w:color w:val="auto"/>
                <w:w w:val="92"/>
              </w:rPr>
              <w:t>St. Paul, MN 55107-2292</w:t>
            </w:r>
          </w:p>
        </w:tc>
      </w:tr>
      <w:tr>
        <w:trPr>
          <w:trHeight w:val="243"/>
        </w:trPr>
        <w:tc>
          <w:tcPr>
            <w:tcW w:w="4320" w:type="dxa"/>
            <w:vAlign w:val="bottom"/>
          </w:tcPr>
          <w:p>
            <w:pPr>
              <w:spacing w:after="0"/>
              <w:rPr>
                <w:sz w:val="21"/>
                <w:szCs w:val="21"/>
                <w:color w:val="auto"/>
              </w:rPr>
            </w:pPr>
          </w:p>
        </w:tc>
        <w:tc>
          <w:tcPr>
            <w:tcW w:w="7100" w:type="dxa"/>
            <w:vAlign w:val="bottom"/>
            <w:gridSpan w:val="2"/>
          </w:tcPr>
          <w:p>
            <w:pPr>
              <w:jc w:val="center"/>
              <w:ind w:right="4230"/>
              <w:spacing w:after="0" w:line="243" w:lineRule="exact"/>
              <w:rPr>
                <w:sz w:val="20"/>
                <w:szCs w:val="20"/>
                <w:color w:val="auto"/>
              </w:rPr>
            </w:pPr>
            <w:r>
              <w:rPr>
                <w:rFonts w:ascii="Arial" w:cs="Arial" w:eastAsia="Arial" w:hAnsi="Arial"/>
                <w:sz w:val="22"/>
                <w:szCs w:val="22"/>
                <w:color w:val="auto"/>
                <w:w w:val="89"/>
              </w:rPr>
              <w:t>(651) 466-6619</w:t>
            </w:r>
          </w:p>
        </w:tc>
      </w:tr>
      <w:tr>
        <w:trPr>
          <w:trHeight w:val="275"/>
        </w:trPr>
        <w:tc>
          <w:tcPr>
            <w:tcW w:w="11420" w:type="dxa"/>
            <w:vAlign w:val="bottom"/>
            <w:gridSpan w:val="3"/>
          </w:tcPr>
          <w:p>
            <w:pPr>
              <w:jc w:val="center"/>
              <w:spacing w:after="0"/>
              <w:rPr>
                <w:sz w:val="20"/>
                <w:szCs w:val="20"/>
                <w:color w:val="auto"/>
              </w:rPr>
            </w:pPr>
            <w:r>
              <w:rPr>
                <w:rFonts w:ascii="Arial" w:cs="Arial" w:eastAsia="Arial" w:hAnsi="Arial"/>
                <w:sz w:val="22"/>
                <w:szCs w:val="22"/>
                <w:color w:val="auto"/>
                <w:w w:val="87"/>
              </w:rPr>
              <w:t>(Name, address and telephone number of agent for service)</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NEW FORTRESS ENERGY LLC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(Issuer with respect to the Securities)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100" w:type="dxa"/>
            <w:vAlign w:val="bottom"/>
            <w:tcBorders>
              <w:top w:val="single" w:sz="8" w:color="auto"/>
            </w:tcBorders>
          </w:tcPr>
          <w:p>
            <w:pPr>
              <w:spacing w:after="0"/>
              <w:rPr>
                <w:sz w:val="23"/>
                <w:szCs w:val="23"/>
                <w:color w:val="auto"/>
              </w:rPr>
            </w:pPr>
          </w:p>
        </w:tc>
        <w:tc>
          <w:tcPr>
            <w:tcW w:w="4580" w:type="dxa"/>
            <w:vAlign w:val="bottom"/>
            <w:tcBorders>
              <w:top w:val="single" w:sz="8" w:color="auto"/>
              <w:right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81-1482060</w:t>
            </w:r>
          </w:p>
        </w:tc>
      </w:tr>
      <w:tr>
        <w:trPr>
          <w:trHeight w:val="34"/>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43"/>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00" w:type="dxa"/>
            <w:vAlign w:val="bottom"/>
          </w:tcPr>
          <w:p>
            <w:pPr>
              <w:spacing w:after="0"/>
              <w:rPr>
                <w:sz w:val="21"/>
                <w:szCs w:val="21"/>
                <w:color w:val="auto"/>
              </w:rPr>
            </w:pPr>
          </w:p>
        </w:tc>
        <w:tc>
          <w:tcPr>
            <w:tcW w:w="4580" w:type="dxa"/>
            <w:vAlign w:val="bottom"/>
            <w:tcBorders>
              <w:right w:val="single" w:sz="8" w:color="auto"/>
            </w:tcBorders>
          </w:tcPr>
          <w:p>
            <w:pPr>
              <w:jc w:val="center"/>
              <w:ind w:right="1030"/>
              <w:spacing w:after="0"/>
              <w:rPr>
                <w:sz w:val="20"/>
                <w:szCs w:val="20"/>
                <w:color w:val="auto"/>
              </w:rPr>
            </w:pPr>
            <w:r>
              <w:rPr>
                <w:rFonts w:ascii="Arial" w:cs="Arial" w:eastAsia="Arial" w:hAnsi="Arial"/>
                <w:sz w:val="18"/>
                <w:szCs w:val="18"/>
                <w:color w:val="auto"/>
                <w:w w:val="94"/>
              </w:rPr>
              <w:t>(I.R.S. Employer Identification No.)</w:t>
            </w:r>
          </w:p>
        </w:tc>
      </w:tr>
      <w:tr>
        <w:trPr>
          <w:trHeight w:val="34"/>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77"/>
        </w:trPr>
        <w:tc>
          <w:tcPr>
            <w:tcW w:w="57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580" w:type="dxa"/>
            <w:vAlign w:val="bottom"/>
            <w:tcBorders>
              <w:bottom w:val="single" w:sz="8" w:color="auto"/>
              <w:right w:val="single" w:sz="8" w:color="auto"/>
            </w:tcBorders>
          </w:tcPr>
          <w:p>
            <w:pPr>
              <w:spacing w:after="0"/>
              <w:rPr>
                <w:sz w:val="24"/>
                <w:szCs w:val="24"/>
                <w:color w:val="auto"/>
              </w:rPr>
            </w:pPr>
          </w:p>
        </w:tc>
      </w:tr>
      <w:tr>
        <w:trPr>
          <w:trHeight w:val="250"/>
        </w:trPr>
        <w:tc>
          <w:tcPr>
            <w:tcW w:w="6840" w:type="dxa"/>
            <w:vAlign w:val="bottom"/>
            <w:tcBorders>
              <w:bottom w:val="single" w:sz="8" w:color="auto"/>
            </w:tcBorders>
            <w:gridSpan w:val="2"/>
          </w:tcPr>
          <w:p>
            <w:pPr>
              <w:spacing w:after="0"/>
              <w:rPr>
                <w:sz w:val="21"/>
                <w:szCs w:val="21"/>
                <w:color w:val="auto"/>
              </w:rPr>
            </w:pPr>
          </w:p>
        </w:tc>
        <w:tc>
          <w:tcPr>
            <w:tcW w:w="4580" w:type="dxa"/>
            <w:vAlign w:val="bottom"/>
            <w:tcBorders>
              <w:bottom w:val="single" w:sz="8" w:color="auto"/>
            </w:tcBorders>
          </w:tcPr>
          <w:p>
            <w:pPr>
              <w:spacing w:after="0"/>
              <w:rPr>
                <w:sz w:val="21"/>
                <w:szCs w:val="21"/>
                <w:color w:val="auto"/>
              </w:rPr>
            </w:pPr>
          </w:p>
        </w:tc>
      </w:tr>
      <w:tr>
        <w:trPr>
          <w:trHeight w:val="225"/>
        </w:trPr>
        <w:tc>
          <w:tcPr>
            <w:tcW w:w="5740" w:type="dxa"/>
            <w:vAlign w:val="bottom"/>
            <w:tcBorders>
              <w:left w:val="single" w:sz="8" w:color="auto"/>
              <w:right w:val="single" w:sz="8" w:color="auto"/>
            </w:tcBorders>
          </w:tcPr>
          <w:p>
            <w:pPr>
              <w:jc w:val="center"/>
              <w:spacing w:after="0" w:line="225" w:lineRule="exact"/>
              <w:rPr>
                <w:sz w:val="20"/>
                <w:szCs w:val="20"/>
                <w:color w:val="auto"/>
              </w:rPr>
            </w:pPr>
            <w:r>
              <w:rPr>
                <w:rFonts w:ascii="Arial" w:cs="Arial" w:eastAsia="Arial" w:hAnsi="Arial"/>
                <w:sz w:val="16"/>
                <w:szCs w:val="16"/>
                <w:b w:val="1"/>
                <w:bCs w:val="1"/>
                <w:color w:val="auto"/>
                <w:w w:val="98"/>
              </w:rPr>
              <w:t>111 W. 19</w:t>
            </w:r>
            <w:r>
              <w:rPr>
                <w:rFonts w:ascii="Arial" w:cs="Arial" w:eastAsia="Arial" w:hAnsi="Arial"/>
                <w:sz w:val="26"/>
                <w:szCs w:val="26"/>
                <w:b w:val="1"/>
                <w:bCs w:val="1"/>
                <w:color w:val="auto"/>
                <w:w w:val="98"/>
                <w:vertAlign w:val="superscript"/>
              </w:rPr>
              <w:t>th</w:t>
            </w:r>
            <w:r>
              <w:rPr>
                <w:rFonts w:ascii="Arial" w:cs="Arial" w:eastAsia="Arial" w:hAnsi="Arial"/>
                <w:sz w:val="16"/>
                <w:szCs w:val="16"/>
                <w:b w:val="1"/>
                <w:bCs w:val="1"/>
                <w:color w:val="auto"/>
                <w:w w:val="98"/>
              </w:rPr>
              <w:t xml:space="preserve"> Street, 8</w:t>
            </w:r>
            <w:r>
              <w:rPr>
                <w:rFonts w:ascii="Arial" w:cs="Arial" w:eastAsia="Arial" w:hAnsi="Arial"/>
                <w:sz w:val="26"/>
                <w:szCs w:val="26"/>
                <w:b w:val="1"/>
                <w:bCs w:val="1"/>
                <w:color w:val="auto"/>
                <w:w w:val="98"/>
                <w:vertAlign w:val="superscript"/>
              </w:rPr>
              <w:t>th</w:t>
            </w:r>
            <w:r>
              <w:rPr>
                <w:rFonts w:ascii="Arial" w:cs="Arial" w:eastAsia="Arial" w:hAnsi="Arial"/>
                <w:sz w:val="16"/>
                <w:szCs w:val="16"/>
                <w:b w:val="1"/>
                <w:bCs w:val="1"/>
                <w:color w:val="auto"/>
                <w:w w:val="98"/>
              </w:rPr>
              <w:t xml:space="preserve"> Floor</w:t>
            </w:r>
          </w:p>
        </w:tc>
        <w:tc>
          <w:tcPr>
            <w:tcW w:w="1100" w:type="dxa"/>
            <w:vAlign w:val="bottom"/>
          </w:tcPr>
          <w:p>
            <w:pPr>
              <w:spacing w:after="0"/>
              <w:rPr>
                <w:sz w:val="19"/>
                <w:szCs w:val="19"/>
                <w:color w:val="auto"/>
              </w:rPr>
            </w:pPr>
          </w:p>
        </w:tc>
        <w:tc>
          <w:tcPr>
            <w:tcW w:w="4580" w:type="dxa"/>
            <w:vAlign w:val="bottom"/>
            <w:tcBorders>
              <w:right w:val="single" w:sz="8" w:color="auto"/>
            </w:tcBorders>
          </w:tcPr>
          <w:p>
            <w:pPr>
              <w:spacing w:after="0"/>
              <w:rPr>
                <w:sz w:val="19"/>
                <w:szCs w:val="19"/>
                <w:color w:val="auto"/>
              </w:rPr>
            </w:pPr>
          </w:p>
        </w:tc>
      </w:tr>
      <w:tr>
        <w:trPr>
          <w:trHeight w:val="234"/>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1100" w:type="dxa"/>
            <w:vAlign w:val="bottom"/>
          </w:tcPr>
          <w:p>
            <w:pPr>
              <w:spacing w:after="0"/>
              <w:rPr>
                <w:sz w:val="20"/>
                <w:szCs w:val="20"/>
                <w:color w:val="auto"/>
              </w:rPr>
            </w:pPr>
          </w:p>
        </w:tc>
        <w:tc>
          <w:tcPr>
            <w:tcW w:w="4580" w:type="dxa"/>
            <w:vAlign w:val="bottom"/>
            <w:tcBorders>
              <w:right w:val="single" w:sz="8" w:color="auto"/>
            </w:tcBorders>
          </w:tcPr>
          <w:p>
            <w:pPr>
              <w:jc w:val="right"/>
              <w:ind w:right="2550"/>
              <w:spacing w:after="0"/>
              <w:rPr>
                <w:sz w:val="20"/>
                <w:szCs w:val="20"/>
                <w:color w:val="auto"/>
              </w:rPr>
            </w:pPr>
            <w:r>
              <w:rPr>
                <w:rFonts w:ascii="Arial" w:cs="Arial" w:eastAsia="Arial" w:hAnsi="Arial"/>
                <w:sz w:val="18"/>
                <w:szCs w:val="18"/>
                <w:b w:val="1"/>
                <w:bCs w:val="1"/>
                <w:color w:val="auto"/>
              </w:rPr>
              <w:t>10011</w:t>
            </w:r>
          </w:p>
        </w:tc>
      </w:tr>
      <w:tr>
        <w:trPr>
          <w:trHeight w:val="34"/>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43"/>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1"/>
                <w:szCs w:val="21"/>
                <w:color w:val="auto"/>
              </w:rPr>
            </w:pPr>
          </w:p>
        </w:tc>
        <w:tc>
          <w:tcPr>
            <w:tcW w:w="4580" w:type="dxa"/>
            <w:vAlign w:val="bottom"/>
            <w:tcBorders>
              <w:right w:val="single" w:sz="8" w:color="auto"/>
            </w:tcBorders>
          </w:tcPr>
          <w:p>
            <w:pPr>
              <w:jc w:val="center"/>
              <w:ind w:right="1050"/>
              <w:spacing w:after="0"/>
              <w:rPr>
                <w:sz w:val="20"/>
                <w:szCs w:val="20"/>
                <w:color w:val="auto"/>
              </w:rPr>
            </w:pPr>
            <w:r>
              <w:rPr>
                <w:rFonts w:ascii="Arial" w:cs="Arial" w:eastAsia="Arial" w:hAnsi="Arial"/>
                <w:sz w:val="18"/>
                <w:szCs w:val="18"/>
                <w:color w:val="auto"/>
                <w:w w:val="94"/>
              </w:rPr>
              <w:t>(Zip Code)</w:t>
            </w:r>
          </w:p>
        </w:tc>
      </w:tr>
      <w:tr>
        <w:trPr>
          <w:trHeight w:val="34"/>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726"/>
        </w:trPr>
        <w:tc>
          <w:tcPr>
            <w:tcW w:w="6840" w:type="dxa"/>
            <w:vAlign w:val="bottom"/>
            <w:gridSpan w:val="2"/>
          </w:tcPr>
          <w:p>
            <w:pPr>
              <w:ind w:left="5020"/>
              <w:spacing w:after="0"/>
              <w:rPr>
                <w:sz w:val="20"/>
                <w:szCs w:val="20"/>
                <w:color w:val="auto"/>
              </w:rPr>
            </w:pPr>
            <w:r>
              <w:rPr>
                <w:rFonts w:ascii="Arial" w:cs="Arial" w:eastAsia="Arial" w:hAnsi="Arial"/>
                <w:sz w:val="22"/>
                <w:szCs w:val="22"/>
                <w:b w:val="1"/>
                <w:bCs w:val="1"/>
                <w:color w:val="auto"/>
              </w:rPr>
              <w:t>Debt Securities</w:t>
            </w:r>
          </w:p>
        </w:tc>
        <w:tc>
          <w:tcPr>
            <w:tcW w:w="4580" w:type="dxa"/>
            <w:vAlign w:val="bottom"/>
          </w:tcPr>
          <w:p>
            <w:pPr>
              <w:spacing w:after="0"/>
              <w:rPr>
                <w:sz w:val="24"/>
                <w:szCs w:val="24"/>
                <w:color w:val="auto"/>
              </w:rPr>
            </w:pPr>
          </w:p>
        </w:tc>
      </w:tr>
    </w:tbl>
    <w:p>
      <w:pPr>
        <w:jc w:val="center"/>
        <w:ind w:right="-79"/>
        <w:spacing w:after="0"/>
        <w:rPr>
          <w:sz w:val="20"/>
          <w:szCs w:val="20"/>
          <w:color w:val="auto"/>
        </w:rPr>
      </w:pPr>
      <w:r>
        <w:rPr>
          <w:rFonts w:ascii="Arial" w:cs="Arial" w:eastAsia="Arial" w:hAnsi="Arial"/>
          <w:sz w:val="22"/>
          <w:szCs w:val="22"/>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22"/>
          <w:szCs w:val="22"/>
          <w:b w:val="1"/>
          <w:bCs w:val="1"/>
          <w:u w:val="single" w:color="auto"/>
          <w:color w:val="auto"/>
        </w:rPr>
        <w:t>FORM T-1</w:t>
      </w: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56" w:lineRule="exact"/>
        <w:rPr>
          <w:sz w:val="20"/>
          <w:szCs w:val="20"/>
          <w:color w:val="auto"/>
        </w:rPr>
      </w:pPr>
    </w:p>
    <w:p>
      <w:pPr>
        <w:ind w:left="1300" w:hanging="320"/>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1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Comptroller of the Currency</w:t>
      </w:r>
    </w:p>
    <w:p>
      <w:pPr>
        <w:ind w:left="2280"/>
        <w:spacing w:after="0"/>
        <w:rPr>
          <w:sz w:val="20"/>
          <w:szCs w:val="20"/>
          <w:color w:val="auto"/>
        </w:rPr>
      </w:pPr>
      <w:r>
        <w:rPr>
          <w:rFonts w:ascii="Arial" w:cs="Arial" w:eastAsia="Arial" w:hAnsi="Arial"/>
          <w:sz w:val="22"/>
          <w:szCs w:val="22"/>
          <w:color w:val="auto"/>
        </w:rPr>
        <w:t>Washington, D.C.</w:t>
      </w:r>
    </w:p>
    <w:p>
      <w:pPr>
        <w:spacing w:after="0" w:line="222" w:lineRule="exact"/>
        <w:rPr>
          <w:sz w:val="20"/>
          <w:szCs w:val="20"/>
          <w:color w:val="auto"/>
        </w:rPr>
      </w:pPr>
    </w:p>
    <w:p>
      <w:pPr>
        <w:ind w:left="1300" w:hanging="320"/>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Yes</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None</w:t>
      </w:r>
    </w:p>
    <w:p>
      <w:pPr>
        <w:spacing w:after="0" w:line="218" w:lineRule="exact"/>
        <w:rPr>
          <w:sz w:val="20"/>
          <w:szCs w:val="20"/>
          <w:color w:val="auto"/>
        </w:rPr>
      </w:pPr>
    </w:p>
    <w:p>
      <w:pPr>
        <w:ind w:left="980" w:right="40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56" w:lineRule="exact"/>
        <w:rPr>
          <w:sz w:val="20"/>
          <w:szCs w:val="20"/>
          <w:color w:val="auto"/>
        </w:rPr>
      </w:pPr>
    </w:p>
    <w:p>
      <w:pPr>
        <w:ind w:left="1300" w:hanging="320"/>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52" w:lineRule="exact"/>
        <w:rPr>
          <w:rFonts w:ascii="Arial" w:cs="Arial" w:eastAsia="Arial" w:hAnsi="Arial"/>
          <w:sz w:val="18"/>
          <w:szCs w:val="18"/>
          <w:color w:val="auto"/>
        </w:rPr>
      </w:pPr>
    </w:p>
    <w:p>
      <w:pPr>
        <w:ind w:left="1300" w:right="140" w:hanging="320"/>
        <w:spacing w:after="0" w:line="277"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2016 published pursuant to law or the requirements of its supervising or examining authority, attached as Exhibit 7.</w:t>
      </w:r>
    </w:p>
    <w:p>
      <w:pPr>
        <w:spacing w:after="0" w:line="190" w:lineRule="exact"/>
        <w:rPr>
          <w:rFonts w:ascii="Arial" w:cs="Arial" w:eastAsia="Arial" w:hAnsi="Arial"/>
          <w:sz w:val="18"/>
          <w:szCs w:val="18"/>
          <w:color w:val="auto"/>
        </w:rPr>
      </w:pPr>
    </w:p>
    <w:p>
      <w:pPr>
        <w:spacing w:after="0" w:line="251" w:lineRule="auto"/>
        <w:rPr>
          <w:rFonts w:ascii="Arial" w:cs="Arial" w:eastAsia="Arial" w:hAnsi="Arial"/>
          <w:sz w:val="18"/>
          <w:szCs w:val="18"/>
          <w:color w:val="auto"/>
        </w:rPr>
      </w:pPr>
      <w:r>
        <w:rPr>
          <w:rFonts w:ascii="Arial" w:cs="Arial" w:eastAsia="Arial" w:hAnsi="Arial"/>
          <w:sz w:val="22"/>
          <w:szCs w:val="22"/>
          <w:color w:val="auto"/>
        </w:rPr>
        <w:t>* Incorporated by reference to Exhibit 25.1 to Amendment No. 2 to registration statement on S-4, Registration Number 333-128217 filed on November 15, 2005.</w:t>
      </w:r>
    </w:p>
    <w:p>
      <w:pPr>
        <w:spacing w:after="0" w:line="200" w:lineRule="exact"/>
        <w:rPr>
          <w:rFonts w:ascii="Arial" w:cs="Arial" w:eastAsia="Arial" w:hAnsi="Arial"/>
          <w:sz w:val="18"/>
          <w:szCs w:val="18"/>
          <w:color w:val="auto"/>
        </w:rPr>
      </w:pPr>
    </w:p>
    <w:p>
      <w:pPr>
        <w:ind w:right="100" w:firstLine="8"/>
        <w:spacing w:after="0" w:line="251" w:lineRule="auto"/>
        <w:tabs>
          <w:tab w:leader="none" w:pos="27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Incorporated by reference to Exhibit 25.1 to registration statement on form S-3ASR, Registration Number 333-199863 filed on November 5, 2014.</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8" w:name="page139"/>
    <w:bookmarkEnd w:id="138"/>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in the State of Minnesota on the 4th day of March, 2020.</w:t>
      </w:r>
    </w:p>
    <w:p>
      <w:pPr>
        <w:spacing w:after="0" w:line="208"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16979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Richard Prokosch</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1" w:right="37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u w:val="single" w:color="auto"/>
          <w:color w:val="auto"/>
        </w:rPr>
        <w:t>Exhibit 2</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346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80"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CERTIFICATE OF CORPORATE EXISTENCE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Thomas J. Curry, Comptroller of the Currency, do hereby Certify that:</w:t>
      </w:r>
    </w:p>
    <w:p>
      <w:pPr>
        <w:spacing w:after="0" w:line="233" w:lineRule="exact"/>
        <w:rPr>
          <w:sz w:val="20"/>
          <w:szCs w:val="20"/>
          <w:color w:val="auto"/>
        </w:rPr>
      </w:pPr>
    </w:p>
    <w:p>
      <w:pPr>
        <w:ind w:right="300" w:firstLine="8"/>
        <w:spacing w:after="0"/>
        <w:tabs>
          <w:tab w:leader="none" w:pos="21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Comptroller of the Currency, pursuant to Revised Statues 324, et seq, as amended, and 12 USC 1, et seq, as amended, has possession, custody, and control of all records pertaining to the chartering, regulation, and supervision of all national banking associations.</w:t>
      </w:r>
    </w:p>
    <w:p>
      <w:pPr>
        <w:spacing w:after="0" w:line="213" w:lineRule="exact"/>
        <w:rPr>
          <w:rFonts w:ascii="Arial" w:cs="Arial" w:eastAsia="Arial" w:hAnsi="Arial"/>
          <w:sz w:val="22"/>
          <w:szCs w:val="22"/>
          <w:color w:val="auto"/>
        </w:rPr>
      </w:pPr>
    </w:p>
    <w:p>
      <w:pPr>
        <w:ind w:right="60" w:firstLine="8"/>
        <w:spacing w:after="0" w:line="274" w:lineRule="auto"/>
        <w:tabs>
          <w:tab w:leader="none" w:pos="21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 TESTIMONY WHEREOF, today,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December 4, 2015, I have hereunto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subscribed my name and caused my seal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 office to be affixed to these presents at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U.S. Department of the Treasury, in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City of Washington, District of</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Columbia.</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32205" cy="11061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113220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u w:val="single" w:color="auto"/>
          <w:color w:val="auto"/>
        </w:rPr>
        <w:t>Exhibit 3</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346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80"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CERTIFICATION OF FIDUCIARY POWERS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Thomas J. Curry, Comptroller of the Currency, do hereby Certify that:</w:t>
      </w:r>
    </w:p>
    <w:p>
      <w:pPr>
        <w:spacing w:after="0" w:line="233" w:lineRule="exact"/>
        <w:rPr>
          <w:sz w:val="20"/>
          <w:szCs w:val="20"/>
          <w:color w:val="auto"/>
        </w:rPr>
      </w:pPr>
    </w:p>
    <w:p>
      <w:pPr>
        <w:ind w:right="300" w:firstLine="8"/>
        <w:spacing w:after="0"/>
        <w:tabs>
          <w:tab w:leader="none" w:pos="21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Comptroller of the Currency, pursuant to Revised Statues 324, et seq, as amended, and 12 USC 1, et seq, as amended, has possession, custody, and control of all records pertaining to the chartering, regulation, and supervision of all national banking associations.</w:t>
      </w:r>
    </w:p>
    <w:p>
      <w:pPr>
        <w:spacing w:after="0" w:line="213" w:lineRule="exact"/>
        <w:rPr>
          <w:rFonts w:ascii="Arial" w:cs="Arial" w:eastAsia="Arial" w:hAnsi="Arial"/>
          <w:sz w:val="22"/>
          <w:szCs w:val="22"/>
          <w:color w:val="auto"/>
        </w:rPr>
      </w:pPr>
    </w:p>
    <w:p>
      <w:pPr>
        <w:ind w:right="40" w:firstLine="8"/>
        <w:spacing w:after="0" w:line="297" w:lineRule="auto"/>
        <w:tabs>
          <w:tab w:leader="none" w:pos="21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“U.S. Bank National Association,” Cincinnati, Ohio (Charter No. 24), was granted, under the hand and seal of the Comptroller, the right to act in all fiduciary capacities authorized under provisions of the Act of Congress approved September 28, 1962, 76 Stat. 668, 12 USC 92a, and that the authority so granted remains in full force and effect on the date of this certificate.</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 TESTIMONY WHEREOF, today,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December 4, 2015, I have hereunto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subscribed my name and caused my seal of</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 to be affixed to these presents at the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Department of the Treasury, in the City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 Washington, District of Columbia.</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32205" cy="11061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113220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1" w:name="page142"/>
    <w:bookmarkEnd w:id="141"/>
    <w:p>
      <w:pPr>
        <w:jc w:val="center"/>
        <w:ind w:right="-499"/>
        <w:spacing w:after="0"/>
        <w:rPr>
          <w:sz w:val="20"/>
          <w:szCs w:val="20"/>
          <w:color w:val="auto"/>
        </w:rPr>
      </w:pPr>
      <w:r>
        <w:rPr>
          <w:rFonts w:ascii="Arial" w:cs="Arial" w:eastAsia="Arial" w:hAnsi="Arial"/>
          <w:sz w:val="22"/>
          <w:szCs w:val="22"/>
          <w:b w:val="1"/>
          <w:bCs w:val="1"/>
          <w:u w:val="single" w:color="auto"/>
          <w:color w:val="auto"/>
        </w:rPr>
        <w:t>Exhibit 6</w:t>
      </w:r>
    </w:p>
    <w:p>
      <w:pPr>
        <w:spacing w:after="0" w:line="234"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CONSENT</w:t>
      </w:r>
    </w:p>
    <w:p>
      <w:pPr>
        <w:spacing w:after="0" w:line="239"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In accordance with Section 321(b) of the Trust Indenture Act of 1939, as amended,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Dated: March 4, 2020</w:t>
      </w:r>
    </w:p>
    <w:p>
      <w:pPr>
        <w:spacing w:after="0" w:line="200" w:lineRule="exact"/>
        <w:rPr>
          <w:sz w:val="20"/>
          <w:szCs w:val="20"/>
          <w:color w:val="auto"/>
        </w:rPr>
      </w:pPr>
    </w:p>
    <w:p>
      <w:pPr>
        <w:spacing w:after="0" w:line="28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16979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Richard Prokosch</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12" w:right="7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Exhibit 7</w:t>
            </w:r>
          </w:p>
        </w:tc>
        <w:tc>
          <w:tcPr>
            <w:tcW w:w="416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00" w:type="dxa"/>
            <w:vAlign w:val="bottom"/>
            <w:gridSpan w:val="4"/>
          </w:tcPr>
          <w:p>
            <w:pPr>
              <w:jc w:val="center"/>
              <w:ind w:right="2885"/>
              <w:spacing w:after="0"/>
              <w:rPr>
                <w:sz w:val="20"/>
                <w:szCs w:val="20"/>
                <w:color w:val="auto"/>
              </w:rPr>
            </w:pPr>
            <w:r>
              <w:rPr>
                <w:rFonts w:ascii="Arial" w:cs="Arial" w:eastAsia="Arial" w:hAnsi="Arial"/>
                <w:sz w:val="22"/>
                <w:szCs w:val="22"/>
                <w:b w:val="1"/>
                <w:bCs w:val="1"/>
                <w:color w:val="auto"/>
                <w:w w:val="88"/>
              </w:rPr>
              <w:t>U.S. Bank National Association</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200" w:type="dxa"/>
            <w:vAlign w:val="bottom"/>
            <w:gridSpan w:val="4"/>
          </w:tcPr>
          <w:p>
            <w:pPr>
              <w:jc w:val="center"/>
              <w:ind w:right="2905"/>
              <w:spacing w:after="0" w:line="243" w:lineRule="exact"/>
              <w:rPr>
                <w:sz w:val="20"/>
                <w:szCs w:val="20"/>
                <w:color w:val="auto"/>
              </w:rPr>
            </w:pPr>
            <w:r>
              <w:rPr>
                <w:rFonts w:ascii="Arial" w:cs="Arial" w:eastAsia="Arial" w:hAnsi="Arial"/>
                <w:sz w:val="22"/>
                <w:szCs w:val="22"/>
                <w:b w:val="1"/>
                <w:bCs w:val="1"/>
                <w:color w:val="auto"/>
                <w:w w:val="89"/>
              </w:rPr>
              <w:t>Statement of Financial Condition</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00" w:type="dxa"/>
            <w:vAlign w:val="bottom"/>
            <w:gridSpan w:val="4"/>
          </w:tcPr>
          <w:p>
            <w:pPr>
              <w:jc w:val="center"/>
              <w:ind w:right="2885"/>
              <w:spacing w:after="0"/>
              <w:rPr>
                <w:sz w:val="20"/>
                <w:szCs w:val="20"/>
                <w:color w:val="auto"/>
              </w:rPr>
            </w:pPr>
            <w:r>
              <w:rPr>
                <w:rFonts w:ascii="Arial" w:cs="Arial" w:eastAsia="Arial" w:hAnsi="Arial"/>
                <w:sz w:val="22"/>
                <w:szCs w:val="22"/>
                <w:b w:val="1"/>
                <w:bCs w:val="1"/>
                <w:color w:val="auto"/>
                <w:w w:val="88"/>
              </w:rPr>
              <w:t>As of 12/31/2019</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0" w:type="dxa"/>
            <w:vAlign w:val="bottom"/>
            <w:gridSpan w:val="3"/>
          </w:tcPr>
          <w:p>
            <w:pPr>
              <w:jc w:val="center"/>
              <w:ind w:right="4085"/>
              <w:spacing w:after="0"/>
              <w:rPr>
                <w:sz w:val="20"/>
                <w:szCs w:val="20"/>
                <w:color w:val="auto"/>
              </w:rPr>
            </w:pPr>
            <w:r>
              <w:rPr>
                <w:rFonts w:ascii="Arial" w:cs="Arial" w:eastAsia="Arial" w:hAnsi="Arial"/>
                <w:sz w:val="22"/>
                <w:szCs w:val="22"/>
                <w:b w:val="1"/>
                <w:bCs w:val="1"/>
                <w:color w:val="auto"/>
                <w:w w:val="87"/>
              </w:rPr>
              <w:t>($000’s)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12/31/2019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Cash and Balances Due From Depository Institutions</w:t>
            </w:r>
          </w:p>
        </w:tc>
        <w:tc>
          <w:tcPr>
            <w:tcW w:w="6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22,256,667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120,982,766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297,660,359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Assets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12,915,451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25,412,255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62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486,004,220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6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374,303,872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Demand Notes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Borrowed Money</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41,653,916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and Debentures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14,940,126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436,611,717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Common and Preferred Stock</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Surplus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14,266,915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Undivided Profits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34,306,761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Minority Interest in Subsidiaries</w:t>
            </w:r>
          </w:p>
        </w:tc>
        <w:tc>
          <w:tcPr>
            <w:tcW w:w="1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800,627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b w:val="1"/>
                <w:bCs w:val="1"/>
                <w:color w:val="auto"/>
              </w:rPr>
              <w:t>Total Equity Capital</w:t>
            </w:r>
          </w:p>
        </w:tc>
        <w:tc>
          <w:tcPr>
            <w:tcW w:w="62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49,392,503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2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486,004,220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40" w:type="dxa"/>
            <w:vAlign w:val="bottom"/>
            <w:gridSpan w:val="2"/>
          </w:tcPr>
          <w:p>
            <w:pPr>
              <w:jc w:val="right"/>
              <w:ind w:right="292"/>
              <w:spacing w:after="0"/>
              <w:rPr>
                <w:sz w:val="20"/>
                <w:szCs w:val="20"/>
                <w:color w:val="auto"/>
              </w:rPr>
            </w:pPr>
            <w:r>
              <w:rPr>
                <w:rFonts w:ascii="Arial" w:cs="Arial" w:eastAsia="Arial" w:hAnsi="Arial"/>
                <w:sz w:val="14"/>
                <w:szCs w:val="14"/>
                <w:color w:val="auto"/>
              </w:rPr>
              <w:t>7</w:t>
            </w: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decimal"/>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1)"/>
      <w:numFmt w:val="decimal"/>
      <w:start w:val="516"/>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1)"/>
      <w:numFmt w:val="decimal"/>
      <w:start w:val="2"/>
    </w:lvl>
  </w:abstractNum>
  <w:abstractNum w:abstractNumId="10">
    <w:nsid w:val="1EBA5D23"/>
    <w:multiLevelType w:val="hybridMultilevel"/>
    <w:lvl w:ilvl="0">
      <w:lvlJc w:val="left"/>
      <w:lvlText w:val="(%1)"/>
      <w:numFmt w:val="decimal"/>
      <w:start w:val="5"/>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1)"/>
      <w:numFmt w:val="decimal"/>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1)"/>
      <w:numFmt w:val="decimal"/>
      <w:start w:val="4"/>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1)"/>
      <w:numFmt w:val="decimal"/>
      <w:start w:val="1"/>
    </w:lvl>
    <w:lvl w:ilvl="1">
      <w:lvlJc w:val="left"/>
      <w:lvlText w:val="(%2)"/>
      <w:numFmt w:val="lowerRoman"/>
      <w:start w:val="1"/>
    </w:lvl>
  </w:abstractNum>
  <w:abstractNum w:abstractNumId="31">
    <w:nsid w:val="71EA1109"/>
    <w:multiLevelType w:val="hybridMultilevel"/>
    <w:lvl w:ilvl="0">
      <w:lvlJc w:val="left"/>
      <w:lvlText w:val="(%1)"/>
      <w:numFmt w:val="decimal"/>
      <w:start w:val="2"/>
    </w:lvl>
    <w:lvl w:ilvl="1">
      <w:lvlJc w:val="left"/>
      <w:lvlText w:val="(%2)"/>
      <w:numFmt w:val="lowerRoman"/>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lowerLetter"/>
      <w:start w:val="1"/>
    </w:lvl>
  </w:abstractNum>
  <w:abstractNum w:abstractNumId="38">
    <w:nsid w:val="76272110"/>
    <w:multiLevelType w:val="hybridMultilevel"/>
    <w:lvl w:ilvl="0">
      <w:lvlJc w:val="left"/>
      <w:lvlText w:val="(%1)"/>
      <w:numFmt w:val="lowerLetter"/>
      <w:start w:val="4"/>
    </w:lvl>
  </w:abstractNum>
  <w:abstractNum w:abstractNumId="39">
    <w:nsid w:val="4C04A8AF"/>
    <w:multiLevelType w:val="hybridMultilevel"/>
    <w:lvl w:ilvl="0">
      <w:lvlJc w:val="left"/>
      <w:lvlText w:val="(%1)"/>
      <w:numFmt w:val="lowerLetter"/>
      <w:start w:val="1"/>
    </w:lvl>
  </w:abstractNum>
  <w:abstractNum w:abstractNumId="40">
    <w:nsid w:val="1716703B"/>
    <w:multiLevelType w:val="hybridMultilevel"/>
    <w:lvl w:ilvl="0">
      <w:lvlJc w:val="left"/>
      <w:lvlText w:val="(%1)"/>
      <w:numFmt w:val="lowerLetter"/>
      <w:start w:val="3"/>
    </w:lvl>
  </w:abstractNum>
  <w:abstractNum w:abstractNumId="41">
    <w:nsid w:val="14E17E33"/>
    <w:multiLevelType w:val="hybridMultilevel"/>
    <w:lvl w:ilvl="0">
      <w:lvlJc w:val="left"/>
      <w:lvlText w:val="(%1)"/>
      <w:numFmt w:val="lowerLetter"/>
      <w:start w:val="1"/>
    </w:lvl>
  </w:abstractNum>
  <w:abstractNum w:abstractNumId="42">
    <w:nsid w:val="3222E7CD"/>
    <w:multiLevelType w:val="hybridMultilevel"/>
    <w:lvl w:ilvl="0">
      <w:lvlJc w:val="left"/>
      <w:lvlText w:val="(%1)"/>
      <w:numFmt w:val="lowerLetter"/>
      <w:start w:val="2"/>
    </w:lvl>
  </w:abstractNum>
  <w:abstractNum w:abstractNumId="43">
    <w:nsid w:val="74DE0EE3"/>
    <w:multiLevelType w:val="hybridMultilevel"/>
    <w:lvl w:ilvl="0">
      <w:lvlJc w:val="left"/>
      <w:lvlText w:val="(%1)"/>
      <w:numFmt w:val="lowerLetter"/>
      <w:start w:val="1"/>
    </w:lvl>
  </w:abstractNum>
  <w:abstractNum w:abstractNumId="44">
    <w:nsid w:val="68EBC550"/>
    <w:multiLevelType w:val="hybridMultilevel"/>
    <w:lvl w:ilvl="0">
      <w:lvlJc w:val="left"/>
      <w:lvlText w:val="(%1)"/>
      <w:numFmt w:val="lowerLetter"/>
      <w:start w:val="1"/>
    </w:lvl>
  </w:abstractNum>
  <w:abstractNum w:abstractNumId="45">
    <w:nsid w:val="2DF6D648"/>
    <w:multiLevelType w:val="hybridMultilevel"/>
    <w:lvl w:ilvl="0">
      <w:lvlJc w:val="left"/>
      <w:lvlText w:val="(%1)"/>
      <w:numFmt w:val="lowerLetter"/>
      <w:start w:val="1"/>
    </w:lvl>
  </w:abstractNum>
  <w:abstractNum w:abstractNumId="46">
    <w:nsid w:val="46B7D447"/>
    <w:multiLevelType w:val="hybridMultilevel"/>
    <w:lvl w:ilvl="0">
      <w:lvlJc w:val="left"/>
      <w:lvlText w:val="(%1)"/>
      <w:numFmt w:val="lowerLetter"/>
      <w:start w:val="5"/>
    </w:lvl>
  </w:abstractNum>
  <w:abstractNum w:abstractNumId="47">
    <w:nsid w:val="4A2AC315"/>
    <w:multiLevelType w:val="hybridMultilevel"/>
    <w:lvl w:ilvl="0">
      <w:lvlJc w:val="left"/>
      <w:lvlText w:val="(%1)"/>
      <w:numFmt w:val="lowerLetter"/>
      <w:start w:val="12"/>
    </w:lvl>
  </w:abstractNum>
  <w:abstractNum w:abstractNumId="48">
    <w:nsid w:val="39EE015C"/>
    <w:multiLevelType w:val="hybridMultilevel"/>
    <w:lvl w:ilvl="0">
      <w:lvlJc w:val="left"/>
      <w:lvlText w:val="(%1)"/>
      <w:numFmt w:val="lowerLetter"/>
      <w:start w:val="24"/>
    </w:lvl>
  </w:abstractNum>
  <w:abstractNum w:abstractNumId="49">
    <w:nsid w:val="57FC4FBB"/>
    <w:multiLevelType w:val="hybridMultilevel"/>
    <w:lvl w:ilvl="0">
      <w:lvlJc w:val="left"/>
      <w:lvlText w:val="(%1)"/>
      <w:numFmt w:val="lowerLetter"/>
      <w:start w:val="27"/>
    </w:lvl>
  </w:abstractNum>
  <w:abstractNum w:abstractNumId="50">
    <w:nsid w:val="CC1016F"/>
    <w:multiLevelType w:val="hybridMultilevel"/>
    <w:lvl w:ilvl="0">
      <w:lvlJc w:val="left"/>
      <w:lvlText w:val="(%1)"/>
      <w:numFmt w:val="lowerLetter"/>
      <w:start w:val="28"/>
    </w:lvl>
  </w:abstractNum>
  <w:abstractNum w:abstractNumId="51">
    <w:nsid w:val="43F18422"/>
    <w:multiLevelType w:val="hybridMultilevel"/>
    <w:lvl w:ilvl="0">
      <w:lvlJc w:val="left"/>
      <w:lvlText w:val="(%1)"/>
      <w:numFmt w:val="lowerLetter"/>
      <w:start w:val="1"/>
    </w:lvl>
  </w:abstractNum>
  <w:abstractNum w:abstractNumId="52">
    <w:nsid w:val="60EF0119"/>
    <w:multiLevelType w:val="hybridMultilevel"/>
    <w:lvl w:ilvl="0">
      <w:lvlJc w:val="left"/>
      <w:lvlText w:val="(%1)"/>
      <w:numFmt w:val="lowerLetter"/>
      <w:start w:val="3"/>
    </w:lvl>
  </w:abstractNum>
  <w:abstractNum w:abstractNumId="53">
    <w:nsid w:val="26F324BA"/>
    <w:multiLevelType w:val="hybridMultilevel"/>
    <w:lvl w:ilvl="0">
      <w:lvlJc w:val="left"/>
      <w:lvlText w:val="(%1)"/>
      <w:numFmt w:val="lowerLetter"/>
      <w:start w:val="8"/>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2"/>
    </w:lvl>
  </w:abstractNum>
  <w:abstractNum w:abstractNumId="56">
    <w:nsid w:val="7055A5F5"/>
    <w:multiLevelType w:val="hybridMultilevel"/>
    <w:lvl w:ilvl="0">
      <w:lvlJc w:val="left"/>
      <w:lvlText w:val="(%1)"/>
      <w:numFmt w:val="lowerLetter"/>
      <w:start w:val="1"/>
    </w:lvl>
  </w:abstractNum>
  <w:abstractNum w:abstractNumId="57">
    <w:nsid w:val="5FB8370B"/>
    <w:multiLevelType w:val="hybridMultilevel"/>
    <w:lvl w:ilvl="0">
      <w:lvlJc w:val="left"/>
      <w:lvlText w:val="(%1)"/>
      <w:numFmt w:val="lowerLetter"/>
      <w:start w:val="3"/>
    </w:lvl>
  </w:abstractNum>
  <w:abstractNum w:abstractNumId="58">
    <w:nsid w:val="50801EE1"/>
    <w:multiLevelType w:val="hybridMultilevel"/>
    <w:lvl w:ilvl="0">
      <w:lvlJc w:val="left"/>
      <w:lvlText w:val="(%1)"/>
      <w:numFmt w:val="lowerLetter"/>
      <w:start w:val="1"/>
    </w:lvl>
    <w:lvl w:ilvl="1">
      <w:lvlJc w:val="left"/>
      <w:lvlText w:val="(%2)"/>
      <w:numFmt w:val="lowerRoman"/>
      <w:start w:val="1"/>
    </w:lvl>
  </w:abstractNum>
  <w:abstractNum w:abstractNumId="59">
    <w:nsid w:val="488AC1A"/>
    <w:multiLevelType w:val="hybridMultilevel"/>
    <w:lvl w:ilvl="0">
      <w:lvlJc w:val="left"/>
      <w:lvlText w:val="(%1)"/>
      <w:numFmt w:val="lowerRoman"/>
      <w:start w:val="2"/>
    </w:lvl>
    <w:lvl w:ilvl="1">
      <w:lvlJc w:val="left"/>
      <w:lvlText w:val="(%2)"/>
      <w:numFmt w:val="upperLetter"/>
      <w:start w:val="1"/>
    </w:lvl>
  </w:abstractNum>
  <w:abstractNum w:abstractNumId="60">
    <w:nsid w:val="5FB801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1">
    <w:nsid w:val="6AA78F7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2">
    <w:nsid w:val="7672BD2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3">
    <w:nsid w:val="6FC75AF8"/>
    <w:multiLevelType w:val="hybridMultilevel"/>
    <w:lvl w:ilvl="0">
      <w:lvlJc w:val="left"/>
      <w:lvlText w:val="(%1)"/>
      <w:numFmt w:val="lowerLetter"/>
      <w:start w:val="8"/>
    </w:lvl>
  </w:abstractNum>
  <w:abstractNum w:abstractNumId="64">
    <w:nsid w:val="6A5F7029"/>
    <w:multiLevelType w:val="hybridMultilevel"/>
    <w:lvl w:ilvl="0">
      <w:lvlJc w:val="left"/>
      <w:lvlText w:val="(%1)"/>
      <w:numFmt w:val="lowerLetter"/>
      <w:start w:val="1"/>
    </w:lvl>
  </w:abstractNum>
  <w:abstractNum w:abstractNumId="65">
    <w:nsid w:val="7D5E18F8"/>
    <w:multiLevelType w:val="hybridMultilevel"/>
    <w:lvl w:ilvl="0">
      <w:lvlJc w:val="left"/>
      <w:lvlText w:val="(%1)"/>
      <w:numFmt w:val="lowerLetter"/>
      <w:start w:val="2"/>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Letter"/>
      <w:start w:val="1"/>
    </w:lvl>
    <w:lvl w:ilvl="1">
      <w:lvlJc w:val="left"/>
      <w:lvlText w:val="(%2)"/>
      <w:numFmt w:val="lowerRoman"/>
      <w:start w:val="1"/>
    </w:lvl>
  </w:abstractNum>
  <w:abstractNum w:abstractNumId="68">
    <w:nsid w:val="7DE67713"/>
    <w:multiLevelType w:val="hybridMultilevel"/>
    <w:lvl w:ilvl="0">
      <w:lvlJc w:val="left"/>
      <w:lvlText w:val="(%1)"/>
      <w:numFmt w:val="lowerLetter"/>
      <w:start w:val="3"/>
    </w:lvl>
    <w:lvl w:ilvl="1">
      <w:lvlJc w:val="left"/>
      <w:lvlText w:val="%2"/>
      <w:numFmt w:val="lowerRoman"/>
      <w:start w:val="1"/>
    </w:lvl>
  </w:abstractNum>
  <w:abstractNum w:abstractNumId="69">
    <w:nsid w:val="555C55B5"/>
    <w:multiLevelType w:val="hybridMultilevel"/>
    <w:lvl w:ilvl="0">
      <w:lvlJc w:val="left"/>
      <w:lvlText w:val="(%1)"/>
      <w:numFmt w:val="lowerLetter"/>
      <w:start w:val="1"/>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Letter"/>
      <w:start w:val="1"/>
    </w:lvl>
    <w:lvl w:ilvl="1">
      <w:lvlJc w:val="left"/>
      <w:lvlText w:val="(%2)"/>
      <w:numFmt w:val="lowerRoman"/>
      <w:start w:val="1"/>
    </w:lvl>
  </w:abstractNum>
  <w:abstractNum w:abstractNumId="72">
    <w:nsid w:val="6A3DD3E8"/>
    <w:multiLevelType w:val="hybridMultilevel"/>
    <w:lvl w:ilvl="0">
      <w:lvlJc w:val="left"/>
      <w:lvlText w:val="(%1)"/>
      <w:numFmt w:val="lowerLetter"/>
      <w:start w:val="1"/>
    </w:lvl>
  </w:abstractNum>
  <w:abstractNum w:abstractNumId="73">
    <w:nsid w:val="71C91298"/>
    <w:multiLevelType w:val="hybridMultilevel"/>
    <w:lvl w:ilvl="0">
      <w:lvlJc w:val="left"/>
      <w:lvlText w:val="(%1)"/>
      <w:numFmt w:val="lowerLetter"/>
      <w:start w:val="1"/>
    </w:lvl>
  </w:abstractNum>
  <w:abstractNum w:abstractNumId="74">
    <w:nsid w:val="9DAF632"/>
    <w:multiLevelType w:val="hybridMultilevel"/>
    <w:lvl w:ilvl="0">
      <w:lvlJc w:val="left"/>
      <w:lvlText w:val="(%1)"/>
      <w:numFmt w:val="lowerLetter"/>
      <w:start w:val="2"/>
    </w:lvl>
  </w:abstractNum>
  <w:abstractNum w:abstractNumId="75">
    <w:nsid w:val="53299938"/>
    <w:multiLevelType w:val="hybridMultilevel"/>
    <w:lvl w:ilvl="0">
      <w:lvlJc w:val="left"/>
      <w:lvlText w:val="(%1)"/>
      <w:numFmt w:val="lowerLetter"/>
      <w:start w:val="1"/>
    </w:lvl>
  </w:abstractNum>
  <w:abstractNum w:abstractNumId="76">
    <w:nsid w:val="1FBFE8E0"/>
    <w:multiLevelType w:val="hybridMultilevel"/>
    <w:lvl w:ilvl="0">
      <w:lvlJc w:val="left"/>
      <w:lvlText w:val="(%1)"/>
      <w:numFmt w:val="lowerLetter"/>
      <w:start w:val="2"/>
    </w:lvl>
  </w:abstractNum>
  <w:abstractNum w:abstractNumId="77">
    <w:nsid w:val="5092CA79"/>
    <w:multiLevelType w:val="hybridMultilevel"/>
    <w:lvl w:ilvl="0">
      <w:lvlJc w:val="left"/>
      <w:lvlText w:val="(%1)"/>
      <w:numFmt w:val="lowerLetter"/>
      <w:start w:val="1"/>
    </w:lvl>
    <w:lvl w:ilvl="1">
      <w:lvlJc w:val="left"/>
      <w:lvlText w:val="(%2)"/>
      <w:numFmt w:val="lowerLetter"/>
      <w:start w:val="9"/>
    </w:lvl>
  </w:abstractNum>
  <w:abstractNum w:abstractNumId="78">
    <w:nsid w:val="1D545C4D"/>
    <w:multiLevelType w:val="hybridMultilevel"/>
    <w:lvl w:ilvl="0">
      <w:lvlJc w:val="left"/>
      <w:lvlText w:val="%1"/>
      <w:numFmt w:val="lowerLetter"/>
      <w:start w:val="1"/>
    </w:lvl>
    <w:lvl w:ilvl="1">
      <w:lvlJc w:val="left"/>
      <w:lvlText w:val="(%2)"/>
      <w:numFmt w:val="lowerRoman"/>
      <w:start w:val="2"/>
    </w:lvl>
  </w:abstractNum>
  <w:abstractNum w:abstractNumId="79">
    <w:nsid w:val="59ADEA3D"/>
    <w:multiLevelType w:val="hybridMultilevel"/>
    <w:lvl w:ilvl="0">
      <w:lvlJc w:val="left"/>
      <w:lvlText w:val="(%1)"/>
      <w:numFmt w:val="lowerLetter"/>
      <w:start w:val="4"/>
    </w:lvl>
    <w:lvl w:ilvl="1">
      <w:lvlJc w:val="left"/>
      <w:lvlText w:val="%2"/>
      <w:numFmt w:val="lowerRoman"/>
      <w:start w:val="1"/>
    </w:lvl>
  </w:abstractNum>
  <w:abstractNum w:abstractNumId="80">
    <w:nsid w:val="288F1A34"/>
    <w:multiLevelType w:val="hybridMultilevel"/>
    <w:lvl w:ilvl="0">
      <w:lvlJc w:val="left"/>
      <w:lvlText w:val="(%1)"/>
      <w:numFmt w:val="lowerLetter"/>
      <w:start w:val="1"/>
    </w:lvl>
  </w:abstractNum>
  <w:abstractNum w:abstractNumId="81">
    <w:nsid w:val="2A155DBC"/>
    <w:multiLevelType w:val="hybridMultilevel"/>
    <w:lvl w:ilvl="0">
      <w:lvlJc w:val="left"/>
      <w:lvlText w:val="(%1)"/>
      <w:numFmt w:val="lowerLetter"/>
      <w:start w:val="2"/>
    </w:lvl>
  </w:abstractNum>
  <w:abstractNum w:abstractNumId="82">
    <w:nsid w:val="1D9F6E5F"/>
    <w:multiLevelType w:val="hybridMultilevel"/>
    <w:lvl w:ilvl="0">
      <w:lvlJc w:val="left"/>
      <w:lvlText w:val="(%1)"/>
      <w:numFmt w:val="lowerLetter"/>
      <w:start w:val="1"/>
    </w:lvl>
  </w:abstractNum>
  <w:abstractNum w:abstractNumId="83">
    <w:nsid w:val="97E1B4E"/>
    <w:multiLevelType w:val="hybridMultilevel"/>
    <w:lvl w:ilvl="0">
      <w:lvlJc w:val="left"/>
      <w:lvlText w:val="(%1)"/>
      <w:numFmt w:val="lowerLetter"/>
      <w:start w:val="6"/>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1)"/>
      <w:numFmt w:val="lowerRoman"/>
      <w:start w:val="1"/>
    </w:lvl>
  </w:abstractNum>
  <w:abstractNum w:abstractNumId="86">
    <w:nsid w:val="53584BC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87">
    <w:nsid w:val="415E286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8">
    <w:nsid w:val="7C58FD05"/>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lowerLetter"/>
      <w:start w:val="3"/>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Letter"/>
      <w:start w:val="1"/>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1"/>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2"/>
    </w:lvl>
  </w:abstractNum>
  <w:abstractNum w:abstractNumId="98">
    <w:nsid w:val="6C80EC70"/>
    <w:multiLevelType w:val="hybridMultilevel"/>
    <w:lvl w:ilvl="0">
      <w:lvlJc w:val="left"/>
      <w:lvlText w:val="(%1)"/>
      <w:numFmt w:val="lowerLetter"/>
      <w:start w:val="6"/>
    </w:lvl>
  </w:abstractNum>
  <w:abstractNum w:abstractNumId="99">
    <w:nsid w:val="379E21B5"/>
    <w:multiLevelType w:val="hybridMultilevel"/>
    <w:lvl w:ilvl="0">
      <w:lvlJc w:val="left"/>
      <w:lvlText w:val="(%1)"/>
      <w:numFmt w:val="lowerLetter"/>
      <w:start w:val="14"/>
    </w:lvl>
  </w:abstractNum>
  <w:abstractNum w:abstractNumId="100">
    <w:nsid w:val="69E37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1">
    <w:nsid w:val="2C27173B"/>
    <w:multiLevelType w:val="hybridMultilevel"/>
    <w:lvl w:ilvl="0">
      <w:lvlJc w:val="left"/>
      <w:lvlText w:val="%1"/>
      <w:numFmt w:val="lowerLetter"/>
      <w:start w:val="1"/>
    </w:lvl>
    <w:lvl w:ilvl="1">
      <w:lvlJc w:val="left"/>
      <w:lvlText w:val="(%2)"/>
      <w:numFmt w:val="lowerRoman"/>
      <w:start w:val="2"/>
    </w:lvl>
  </w:abstractNum>
  <w:abstractNum w:abstractNumId="102">
    <w:nsid w:val="4C9B0904"/>
    <w:multiLevelType w:val="hybridMultilevel"/>
    <w:lvl w:ilvl="0">
      <w:lvlJc w:val="left"/>
      <w:lvlText w:val="(%1)"/>
      <w:numFmt w:val="lowerLetter"/>
      <w:start w:val="3"/>
    </w:lvl>
    <w:lvl w:ilvl="1">
      <w:lvlJc w:val="left"/>
      <w:lvlText w:val="%2"/>
      <w:numFmt w:val="lowerRoman"/>
      <w:start w:val="1"/>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2"/>
    </w:lvl>
  </w:abstractNum>
  <w:abstractNum w:abstractNumId="105">
    <w:nsid w:val="5675FF36"/>
    <w:multiLevelType w:val="hybridMultilevel"/>
    <w:lvl w:ilvl="0">
      <w:lvlJc w:val="left"/>
      <w:lvlText w:val="(%1)"/>
      <w:numFmt w:val="decimal"/>
      <w:start w:val="1"/>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3"/>
    </w:lvl>
  </w:abstractNum>
  <w:abstractNum w:abstractNumId="108">
    <w:nsid w:val="2708C9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5B25ACE2"/>
    <w:multiLevelType w:val="hybridMultilevel"/>
    <w:lvl w:ilvl="0">
      <w:lvlJc w:val="left"/>
      <w:lvlText w:val="(%1)"/>
      <w:numFmt w:val="lowerLetter"/>
      <w:start w:val="2"/>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1)"/>
      <w:numFmt w:val="lowerLetter"/>
      <w:start w:val="2"/>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1)"/>
      <w:numFmt w:val="lowerLetter"/>
      <w:start w:val="1"/>
    </w:lvl>
  </w:abstractNum>
  <w:abstractNum w:abstractNumId="114">
    <w:nsid w:val="5915FF32"/>
    <w:multiLevelType w:val="hybridMultilevel"/>
    <w:lvl w:ilvl="0">
      <w:lvlJc w:val="left"/>
      <w:lvlText w:val="(%1)"/>
      <w:numFmt w:val="lowerLetter"/>
      <w:start w:val="7"/>
    </w:lvl>
  </w:abstractNum>
  <w:abstractNum w:abstractNumId="115">
    <w:nsid w:val="56438D15"/>
    <w:multiLevelType w:val="hybridMultilevel"/>
    <w:lvl w:ilvl="0">
      <w:lvlJc w:val="left"/>
      <w:lvlText w:val="(%1)"/>
      <w:numFmt w:val="lowerLetter"/>
      <w:start w:val="1"/>
    </w:lvl>
    <w:lvl w:ilvl="1">
      <w:lvlJc w:val="left"/>
      <w:lvlText w:val="(%2)"/>
      <w:numFmt w:val="lowerRoman"/>
      <w:start w:val="1"/>
    </w:lvl>
  </w:abstractNum>
  <w:abstractNum w:abstractNumId="116">
    <w:nsid w:val="519E3149"/>
    <w:multiLevelType w:val="hybridMultilevel"/>
    <w:lvl w:ilvl="0">
      <w:lvlJc w:val="left"/>
      <w:lvlText w:val="(%1)"/>
      <w:numFmt w:val="lowerLetter"/>
      <w:start w:val="3"/>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3"/>
    </w:lvl>
  </w:abstractNum>
  <w:abstractNum w:abstractNumId="119">
    <w:nsid w:val="4DF72E4E"/>
    <w:multiLevelType w:val="hybridMultilevel"/>
    <w:lvl w:ilvl="0">
      <w:lvlJc w:val="left"/>
      <w:lvlText w:val="(%1)"/>
      <w:numFmt w:val="lowerLetter"/>
      <w:start w:val="1"/>
    </w:lvl>
  </w:abstractNum>
  <w:abstractNum w:abstractNumId="120">
    <w:nsid w:val="5046B5A9"/>
    <w:multiLevelType w:val="hybridMultilevel"/>
    <w:lvl w:ilvl="0">
      <w:lvlJc w:val="left"/>
      <w:lvlText w:val="(%1)"/>
      <w:numFmt w:val="lowerLetter"/>
      <w:start w:val="2"/>
    </w:lvl>
  </w:abstractNum>
  <w:abstractNum w:abstractNumId="121">
    <w:nsid w:val="5D888A08"/>
    <w:multiLevelType w:val="hybridMultilevel"/>
    <w:lvl w:ilvl="0">
      <w:lvlJc w:val="left"/>
      <w:lvlText w:val="(%1)"/>
      <w:numFmt w:val="lowerLetter"/>
      <w:start w:val="1"/>
    </w:lvl>
  </w:abstractNum>
  <w:abstractNum w:abstractNumId="122">
    <w:nsid w:val="2A082C70"/>
    <w:multiLevelType w:val="hybridMultilevel"/>
    <w:lvl w:ilvl="0">
      <w:lvlJc w:val="left"/>
      <w:lvlText w:val="(%1)"/>
      <w:numFmt w:val="lowerLetter"/>
      <w:start w:val="1"/>
    </w:lvl>
  </w:abstractNum>
  <w:abstractNum w:abstractNumId="123">
    <w:nsid w:val="5EC6AFD4"/>
    <w:multiLevelType w:val="hybridMultilevel"/>
    <w:lvl w:ilvl="0">
      <w:lvlJc w:val="left"/>
      <w:lvlText w:val="(%1)"/>
      <w:numFmt w:val="lowerLetter"/>
      <w:start w:val="1"/>
    </w:lvl>
  </w:abstractNum>
  <w:abstractNum w:abstractNumId="124">
    <w:nsid w:val="19E21BB2"/>
    <w:multiLevelType w:val="hybridMultilevel"/>
    <w:lvl w:ilvl="0">
      <w:lvlJc w:val="left"/>
      <w:lvlText w:val="%1."/>
      <w:numFmt w:val="decimal"/>
      <w:start w:val="1"/>
    </w:lvl>
  </w:abstractNum>
  <w:abstractNum w:abstractNumId="125">
    <w:nsid w:val="75E0858A"/>
    <w:multiLevelType w:val="hybridMultilevel"/>
    <w:lvl w:ilvl="0">
      <w:lvlJc w:val="left"/>
      <w:lvlText w:val="%1."/>
      <w:numFmt w:val="decimal"/>
      <w:start w:val="5"/>
    </w:lvl>
  </w:abstractNum>
  <w:abstractNum w:abstractNumId="126">
    <w:nsid w:val="57A61A29"/>
    <w:multiLevelType w:val="hybridMultilevel"/>
    <w:lvl w:ilvl="0">
      <w:lvlJc w:val="left"/>
      <w:lvlText w:val="(%1)"/>
      <w:numFmt w:val="lowerLetter"/>
      <w:start w:val="1"/>
    </w:lvl>
  </w:abstractNum>
  <w:abstractNum w:abstractNumId="127">
    <w:nsid w:val="5399C654"/>
    <w:multiLevelType w:val="hybridMultilevel"/>
    <w:lvl w:ilvl="0">
      <w:lvlJc w:val="left"/>
      <w:lvlText w:val="(%1)"/>
      <w:numFmt w:val="lowerLetter"/>
      <w:start w:val="9"/>
    </w:lvl>
  </w:abstractNum>
  <w:abstractNum w:abstractNumId="128">
    <w:nsid w:val="20EE1348"/>
    <w:multiLevelType w:val="hybridMultilevel"/>
    <w:lvl w:ilvl="0">
      <w:lvlJc w:val="left"/>
      <w:lvlText w:val="(%1)"/>
      <w:numFmt w:val="lowerLetter"/>
      <w:start w:val="1"/>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lowerLetter"/>
      <w:start w:val="2"/>
    </w:lvl>
  </w:abstractNum>
  <w:abstractNum w:abstractNumId="131">
    <w:nsid w:val="2157F6BC"/>
    <w:multiLevelType w:val="hybridMultilevel"/>
    <w:lvl w:ilvl="0">
      <w:lvlJc w:val="left"/>
      <w:lvlText w:val="*"/>
      <w:numFmt w:val="bullet"/>
      <w:start w:val="1"/>
    </w:lvl>
    <w:lvl w:ilvl="1">
      <w:lvlJc w:val="left"/>
      <w:lvlText w:val="%2."/>
      <w:numFmt w:val="decimal"/>
      <w:start w:val="1"/>
    </w:lvl>
  </w:abstractNum>
  <w:abstractNum w:abstractNumId="132">
    <w:nsid w:val="704E1DD5"/>
    <w:multiLevelType w:val="hybridMultilevel"/>
    <w:lvl w:ilvl="0">
      <w:lvlJc w:val="left"/>
      <w:lvlText w:val="**"/>
      <w:numFmt w:val="bullet"/>
      <w:start w:val="1"/>
    </w:lvl>
    <w:lvl w:ilvl="1">
      <w:lvlJc w:val="left"/>
      <w:lvlText w:val="%2"/>
      <w:numFmt w:val="decimal"/>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jpe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jpe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8" Type="http://schemas.openxmlformats.org/officeDocument/2006/relationships/hyperlink" Target="http://www.sec.gov/Archives/edgar/data/1749723/000114036120004834/form10k.htm" TargetMode="External"/><Relationship Id="rId29" Type="http://schemas.openxmlformats.org/officeDocument/2006/relationships/hyperlink" Target="http://www.sec.gov/Archives/edgar/data/1749723/000114036120000659/form8k.htm" TargetMode="External"/><Relationship Id="rId30" Type="http://schemas.openxmlformats.org/officeDocument/2006/relationships/hyperlink" Target="http://www.sec.gov/Archives/edgar/data/1749723/000114036120000864/form8k.htm" TargetMode="External"/><Relationship Id="rId31" Type="http://schemas.openxmlformats.org/officeDocument/2006/relationships/hyperlink" Target="http://www.sec.gov/Archives/edgar/data/1749723/000114036120004834/ex4_1.htm" TargetMode="External"/><Relationship Id="rId66" Type="http://schemas.openxmlformats.org/officeDocument/2006/relationships/hyperlink" Target="http://www.sec.gov/Archives/edgar/data/1749723/000114036118042889/s002392x7_ex3-1.htm" TargetMode="External"/><Relationship Id="rId67" Type="http://schemas.openxmlformats.org/officeDocument/2006/relationships/hyperlink" Target="http://www.sec.gov/Archives/edgar/data/1749723/000114036118042889/s002392x7_ex3-2.htm" TargetMode="External"/><Relationship Id="rId68" Type="http://schemas.openxmlformats.org/officeDocument/2006/relationships/hyperlink" Target="http://www.sec.gov/Archives/edgar/data/1749723/000114036119002493/s002392x20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2020-03-05T15:59:27Z</dcterms:created>
  <dcterms:modified xsi:type="dcterms:W3CDTF">2020-03-05T15:59:27Z</dcterms:modified>
</cp:coreProperties>
</file>