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76"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76"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Date of Report (Date of earliest event reported): August 14, 2025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9044" w:type="dxa"/>
        <w:jc w:val="left"/>
        <w:tblInd w:w="0" w:type="dxa"/>
        <w:tblLayout w:type="fixed"/>
        <w:tblCellMar>
          <w:top w:w="28" w:type="dxa"/>
          <w:left w:w="28" w:type="dxa"/>
          <w:bottom w:w="28" w:type="dxa"/>
          <w:right w:w="28" w:type="dxa"/>
        </w:tblCellMar>
      </w:tblPr>
      <w:tblGrid>
        <w:gridCol w:w="1584"/>
        <w:gridCol w:w="1390"/>
        <w:gridCol w:w="1406"/>
        <w:gridCol w:w="662"/>
        <w:gridCol w:w="662"/>
        <w:gridCol w:w="670"/>
        <w:gridCol w:w="780"/>
        <w:gridCol w:w="780"/>
        <w:gridCol w:w="1110"/>
      </w:tblGrid>
      <w:tr>
        <w:trPr/>
        <w:tc>
          <w:tcPr>
            <w:tcW w:w="15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001-38790</w:t>
            </w:r>
          </w:p>
        </w:tc>
        <w:tc>
          <w:tcPr>
            <w:tcW w:w="26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43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tbl>
      <w:tblPr>
        <w:tblW w:w="4662" w:type="dxa"/>
        <w:jc w:val="left"/>
        <w:tblInd w:w="0" w:type="dxa"/>
        <w:tblLayout w:type="fixed"/>
        <w:tblCellMar>
          <w:top w:w="28" w:type="dxa"/>
          <w:left w:w="28" w:type="dxa"/>
          <w:bottom w:w="28" w:type="dxa"/>
          <w:right w:w="28" w:type="dxa"/>
        </w:tblCellMar>
      </w:tblPr>
      <w:tblGrid>
        <w:gridCol w:w="1193"/>
        <w:gridCol w:w="1049"/>
        <w:gridCol w:w="1058"/>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6989" w:type="dxa"/>
        <w:jc w:val="left"/>
        <w:tblInd w:w="0" w:type="dxa"/>
        <w:tblLayout w:type="fixed"/>
        <w:tblCellMar>
          <w:top w:w="28" w:type="dxa"/>
          <w:left w:w="28" w:type="dxa"/>
          <w:bottom w:w="28" w:type="dxa"/>
          <w:right w:w="28" w:type="dxa"/>
        </w:tblCellMar>
      </w:tblPr>
      <w:tblGrid>
        <w:gridCol w:w="755"/>
        <w:gridCol w:w="661"/>
        <w:gridCol w:w="669"/>
        <w:gridCol w:w="539"/>
        <w:gridCol w:w="539"/>
        <w:gridCol w:w="541"/>
        <w:gridCol w:w="962"/>
        <w:gridCol w:w="962"/>
        <w:gridCol w:w="1361"/>
      </w:tblGrid>
      <w:tr>
        <w:trPr/>
        <w:tc>
          <w:tcPr>
            <w:tcW w:w="75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exchange on which registered</w:t>
            </w:r>
          </w:p>
        </w:tc>
      </w:tr>
      <w:tr>
        <w:trPr/>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Class A Common Stock</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NFE</w:t>
            </w:r>
          </w:p>
        </w:tc>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Emerging growth company</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8, 2025, New Fortress Energy Inc., a Delaware corporation (“NFE” or "the Company") entered into the Ninth Amendment to Uncommitted Letter of Credit and Reimbursement Agreement (the “Ninth Amendment”), by and among the Company, as the borrower, the guarantors party thereto, Natixis, New York Branch, and each of the other financial institutions party thereto, as Lenders, which amends that certain Uncommitted Letter of Credit and Reimbursement Agreement, dated as of July 16, 2021 (as amended, restated or otherwise modified from time to time, the “Existing ULCA” and the Existing ULCA as amended by the Ninth Amendment, the “Amended ULCA”), by and among the Company, the guarantors from time to time party thereto, Natixis, New York Branch, as Administrative Agent, Natixis, New York Branch, as ULCA Collateral Agent, Natixis, New York Branch, and each of the other financial institutions party thereto, as Lenders and Issuing Banks.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Ninth Amendment, among other things, (i) changes the facility from uncommitted to committed; (ii) extends the maturity date to November 14, 2025; (iii) adds an asset sale sweep prepayment provision; and (iv) makes certain changes to fees and pricing. In addition, the commitments were reduced to approximately $195,000 and are automatically reduced on October 5, 2025 to approximately $155,000.</w:t>
      </w:r>
    </w:p>
    <w:p>
      <w:pPr>
        <w:pStyle w:val="TextBody"/>
        <w:bidi w:val="0"/>
        <w:spacing w:before="0" w:after="0"/>
        <w:ind w:left="0" w:right="0" w:firstLine="72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Arrangement of a Registrant.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is incorporated by reference into this Item 2.03.</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724" w:type="dxa"/>
        <w:jc w:val="left"/>
        <w:tblInd w:w="0" w:type="dxa"/>
        <w:tblLayout w:type="fixed"/>
        <w:tblCellMar>
          <w:top w:w="28" w:type="dxa"/>
          <w:left w:w="28" w:type="dxa"/>
          <w:bottom w:w="28" w:type="dxa"/>
          <w:right w:w="28" w:type="dxa"/>
        </w:tblCellMar>
      </w:tblPr>
      <w:tblGrid>
        <w:gridCol w:w="391"/>
        <w:gridCol w:w="344"/>
        <w:gridCol w:w="345"/>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487" w:type="dxa"/>
        <w:jc w:val="left"/>
        <w:tblInd w:w="0" w:type="dxa"/>
        <w:tblLayout w:type="fixed"/>
        <w:tblCellMar>
          <w:top w:w="28" w:type="dxa"/>
          <w:left w:w="28" w:type="dxa"/>
          <w:bottom w:w="28" w:type="dxa"/>
          <w:right w:w="28" w:type="dxa"/>
        </w:tblCellMar>
      </w:tblPr>
      <w:tblGrid>
        <w:gridCol w:w="705"/>
        <w:gridCol w:w="621"/>
        <w:gridCol w:w="624"/>
        <w:gridCol w:w="464"/>
        <w:gridCol w:w="464"/>
        <w:gridCol w:w="464"/>
        <w:gridCol w:w="625"/>
        <w:gridCol w:w="625"/>
        <w:gridCol w:w="89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2025</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 Guinta</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4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 Guinta</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3385</Characters>
  <CharactersWithSpaces>3951</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