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January 25, 2019</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January 25, 2019</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333-228339</w:t>
      </w:r>
    </w:p>
    <w:p>
      <w:pPr>
        <w:spacing w:after="0" w:line="234" w:lineRule="exact"/>
        <w:rPr>
          <w:sz w:val="24"/>
          <w:szCs w:val="24"/>
          <w:color w:val="auto"/>
        </w:rPr>
      </w:pPr>
    </w:p>
    <w:p>
      <w:pPr>
        <w:jc w:val="both"/>
        <w:spacing w:after="0" w:line="305" w:lineRule="auto"/>
        <w:rPr>
          <w:sz w:val="20"/>
          <w:szCs w:val="20"/>
          <w:color w:val="auto"/>
        </w:rPr>
      </w:pPr>
      <w:r>
        <w:rPr>
          <w:rFonts w:ascii="Arial" w:cs="Arial" w:eastAsia="Arial" w:hAnsi="Arial"/>
          <w:sz w:val="17"/>
          <w:szCs w:val="17"/>
          <w:i w:val="1"/>
          <w:iCs w:val="1"/>
          <w:color w:val="auto"/>
        </w:rPr>
        <w:t>This free writing prospectus should be read together with the issuer’s registration statement on Form S-1 (File No. 333-228339) (including the prospectus therein), as amended. The following information supplements and updates the information contained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533525" cy="391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3525" cy="391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Fortress Energy LLC Announces Definitive Offering Terms for Initial Public Offering</w:t>
      </w:r>
    </w:p>
    <w:p>
      <w:pPr>
        <w:spacing w:after="0" w:line="253"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NEW YORK, January 25, 2019 – New Fortress Energy LLC (NASDAQ: NFE) (“New Fortress” or the “Company”) announced today that following its recent nine-day roadshow, it has filed an amendment to its registration statement on Form S-1 with the U.S. Securities and Exchange Commission (the “SEC”) in connection with the definitive offering terms of its initial public offering of Class A shares representing limited liability company interests in New Fortress (the “Class A shares”). New Fortress is offering 20,000,000 Class A shares at an initial public offering price of $15.00 per share. New Fortress expects to enter into an underwriting agreement in connection with the effectiveness of the registration statement on those deal terms. In addition New Fortress intends to grant the underwriters a 30-day option to purchase up to an additional 3,000,000 Class A shares at the initial public offering price less underwriting discounts and commissions. The Class A shares have been approved for listing on the Nasdaq Global Select Market under the ticker symbol “NFE.”</w:t>
      </w:r>
    </w:p>
    <w:p>
      <w:pPr>
        <w:spacing w:after="0" w:line="220"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New Fortress has included in the registration statement the initial public offering price and the number of shares offered and specific language under Rule 473(b) promulgated under the Securities Act of 1933, as amended (the “Securities Act”), such that the registration statement is expected to become automatically effective, pursuant to Section 8(a) of the Securities Act and Rule 459 under the Securities Act, on February 13, 2019. While President Trump announced today a three-week agreement to reopen the federal government, it is not clear how quickly the SEC may be able resume normal operations. If the SEC does resume normal operations sufficient to complete the offering without reliance on automatic effectiveness, New Fortress intends to pursue alternatives to obtain effectiveness of the registration statement prior to February 13, 2019.</w:t>
      </w:r>
    </w:p>
    <w:p>
      <w:pPr>
        <w:spacing w:after="0" w:line="205" w:lineRule="exact"/>
        <w:rPr>
          <w:sz w:val="24"/>
          <w:szCs w:val="24"/>
          <w:color w:val="auto"/>
        </w:rPr>
      </w:pPr>
    </w:p>
    <w:p>
      <w:pPr>
        <w:jc w:val="both"/>
        <w:spacing w:after="0" w:line="274" w:lineRule="auto"/>
        <w:rPr>
          <w:sz w:val="20"/>
          <w:szCs w:val="20"/>
          <w:color w:val="auto"/>
        </w:rPr>
      </w:pPr>
      <w:r>
        <w:rPr>
          <w:rFonts w:ascii="Arial" w:cs="Arial" w:eastAsia="Arial" w:hAnsi="Arial"/>
          <w:sz w:val="18"/>
          <w:szCs w:val="18"/>
          <w:color w:val="auto"/>
        </w:rPr>
        <w:t>Morgan Stanley, Barclays, Citigroup and Credit Suisse are acting as lead book-running managers for the proposed offering. Additional book-running managers are Evercore ISI and Allen &amp; Company LLC. Co-managers are JMP Securities and Stifel.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0866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 w:name="page2"/>
    <w:bookmarkEnd w:id="1"/>
    <w:p>
      <w:pPr>
        <w:spacing w:after="0" w:line="274" w:lineRule="auto"/>
        <w:rPr>
          <w:sz w:val="20"/>
          <w:szCs w:val="20"/>
          <w:color w:val="auto"/>
        </w:rPr>
      </w:pPr>
      <w:r>
        <w:rPr>
          <w:rFonts w:ascii="Arial" w:cs="Arial" w:eastAsia="Arial" w:hAnsi="Arial"/>
          <w:sz w:val="18"/>
          <w:szCs w:val="18"/>
          <w:color w:val="auto"/>
        </w:rPr>
        <w:t>The offering of these securities will be made only by means of a prospectus that meets the requirements of Section 10 of the Securities Act. A copy of the preliminary prospectus may be obtained from: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3" w:lineRule="auto"/>
        <w:rPr>
          <w:sz w:val="20"/>
          <w:szCs w:val="20"/>
          <w:color w:val="auto"/>
        </w:rPr>
      </w:pPr>
      <w:r>
        <w:rPr>
          <w:rFonts w:ascii="Arial" w:cs="Arial" w:eastAsia="Arial" w:hAnsi="Arial"/>
          <w:sz w:val="16"/>
          <w:szCs w:val="16"/>
          <w:color w:val="auto"/>
        </w:rPr>
        <w:t>180 Varick Street,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8"/>
          <w:szCs w:val="18"/>
          <w:color w:val="auto"/>
        </w:rPr>
        <w:t>New York, NY 10014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(888) 603-5847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barclaysprospectus@broadridge.com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(800) 831-9146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3" w:lineRule="auto"/>
        <w:rPr>
          <w:sz w:val="20"/>
          <w:szCs w:val="20"/>
          <w:color w:val="auto"/>
        </w:rPr>
      </w:pPr>
      <w:r>
        <w:rPr>
          <w:rFonts w:ascii="Arial" w:cs="Arial" w:eastAsia="Arial" w:hAnsi="Arial"/>
          <w:sz w:val="16"/>
          <w:szCs w:val="16"/>
          <w:color w:val="auto"/>
        </w:rPr>
        <w:t>Eleven Madison Avenue,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8"/>
          <w:szCs w:val="18"/>
          <w:color w:val="auto"/>
        </w:rPr>
        <w:t>New York, NY 10010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Telephone: (800) 221-1037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usa.prospectus@credit-suisse.com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registration statement relating to these securities has been filed with the SEC but has not yet become effective. These securities may not be sold nor may offers to buy be accepted prior to the time the registration statement becomes effective. The registration statement may be obtained free of charge at the SEC’s website at www.sec.gov under “New Fortress Energy LLC.” 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LLC</w:t>
      </w:r>
    </w:p>
    <w:p>
      <w:pPr>
        <w:spacing w:after="0" w:line="25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New Fortress Energy is a global energy infrastructure company founded to help accelerate the world’s transition to clean energy. The company funds, builds and operates natural gas infrastructure and logistics to deliver fast-track, turnkey energy solutions that enable economic growth, environmental stewardship and transform local industries and communities. New Fortress Energy is majority-owned by a fund managed by an affiliate of Fortress Investment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27" w:right="56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press release constitute “forward-looking statements”.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Accordingly, readers should not place undue reliance on forward-looking statements as a prediction of actual results.</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initial public offering, which could cause its actual results to differ materially from those contained in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 (516) 268-7433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press@newfortressenergy.com</w:t>
      </w:r>
    </w:p>
    <w:p>
      <w:pPr>
        <w:spacing w:after="0" w:line="23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The Company has filed a registration statement (including a prospectus) with the SEC for the offering to which this communication relates. Before you invest, you should read the prospectus in that registration statement and other documents the Company has filed with the SEC for more complete information about the Company and this offering. You may obtain these documents for free by visiting EDGAR on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Company, any underwriter or any dealer participating in the offering will arrange to send you the prospectus if you request it from: Morgan Stanley &amp; Co. LLC, Attention: Prospectus Department, 180 Varick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NY 10014; Barclays Capital Inc., c/o Broadridge Financial Solutions, 1155 Long Island Avenue, Edgewood, NY 11717, Telephone: (888) 603-5847, Email: barclaysprospectus@broadridge.com; Citigroup Global Markets Inc., c/o Broadridge Financial Solutions, 1155 Long Island Avenue, Edgewood, NY 11717, Telephone: (800) 831-9146; Credit Suisse Securities (USA) LLC, Attention: Prospectus Department, Eleven Madison Avenue,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NY 10010, Telephone: (800) 221-1037, Email usa.prospectus@credit-suisse.com.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086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sectPr>
      <w:pgSz w:w="12240" w:h="15840" w:orient="portrait"/>
      <w:cols w:equalWidth="0" w:num="1">
        <w:col w:w="11160"/>
      </w:cols>
      <w:pgMar w:left="520" w:top="223"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2019-12-15T20:15:21Z</dcterms:created>
  <dcterms:modified xsi:type="dcterms:W3CDTF">2019-12-15T20:15:21Z</dcterms:modified>
</cp:coreProperties>
</file>