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31, 2024</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1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508" w:lineRule="exact"/>
        <w:rPr>
          <w:sz w:val="24"/>
          <w:szCs w:val="24"/>
          <w:color w:val="auto"/>
        </w:rPr>
      </w:pPr>
    </w:p>
    <w:p>
      <w:pPr>
        <w:sectPr>
          <w:pgSz w:w="11900" w:h="16838" w:orient="portrait"/>
          <w:cols w:equalWidth="0" w:num="2">
            <w:col w:w="8180" w:space="660"/>
            <w:col w:w="2240"/>
          </w:cols>
          <w:pgMar w:left="320" w:top="1029" w:right="499" w:bottom="1440" w:gutter="0" w:footer="0" w:header="0"/>
          <w:type w:val="continuous"/>
        </w:sect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68"/>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33"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August 31, 2024, New Fortress Energy Inc. (the “Company”) entered into the Fourth Amendment to the Uncommitted Letter of Credit and Reimbursement Agreement (the “Fourth Amendment”), by and among the Company, as the borrower, the guarantors party thereto, Natixis, New York Branch, and each of the other financial institutions party thereto, as Lenders, which amends that certain Uncommitted Letter of Credit and Reimbursement Agreement, dated as of July 16, 2021 (as amended, restated or otherwise modified from time to time, the “Existing ULCA” and the Existing ULCA as amended by the Fourth Amendment, the “Amended ULCA”), by and among the Company, the guarantors from time to time party thereto, Natixis, New York Branch, as Administrative Agent, Natixis, New York Branch, as ULCA Collateral Agent, Natixis, New York Branch, and each of the other financial institutions party thereto, as Lenders and Issuing Banks.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August 31, 2024, the Company entered into the First Amendment to the Credit Agreement (the “First Amendment”), by and among the Company, as the borrower, the guarantors party thereto, the lenders party thereto, and Morgan Stanley Senior Funding Inc., as administrative agent, which amends that certain Credit Agreement, dated as of July 19, 2024 (as amended, restated or otherwise modified from time to time, the “Existing TLA” and the Existing TLA as amended by the First Amendment, the “Amended TLA”), by and among the Company, as the borrower, the guarantors from time to time party thereto, the several lenders from time to time party thereto, and Morgan Stanley Senior Funding Inc., as administrative agent and as collateral agent.</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August 31, 2024, the Company entered into the Eighth Amendment to the Credit Agreement (the “Eighth Amendment”), by and among the Company, as borrower, the guarantors party thereto, the lenders party thereto and MUFG Bank Ltd., as administrative agent and as collateral agent, which amends that certain Credit Agreement, dated as of April 15, 2021 (as amended, restated or otherwise modified from time to time, the “Existing RCF” and the Existing RCF as amended by the Eighth Amendment, the “Amended RCF”), by and among the Company, as the borrower, the guarantors from time to time party thereto, the several lenders and issuing banks from time to time party thereto, and MUFG Bank Ltd., as administrative agent and as collateral agent.</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Fourth Amendment, the First Amendment and the Eighth Amendment are referred to herein collectively as the “Amendments,” and each, an “Amendment;” the Amended ULCA, the Amended TLA and the Amended RCF are referred to herein collectively as the “Amended Credit Agreements,” and each, an “Amended Credit Agreement.” The Existing ULCA, Existing TLA and Existing RCF are referred to herein collectively as the “Existing Credit Agreements.” Each Amendment will become effective upon the satisfaction of certain conditions specified therein.</w:t>
      </w:r>
    </w:p>
    <w:p>
      <w:pPr>
        <w:spacing w:after="0" w:line="25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Amended Credit Agreements, among other things, suspend the application of the maximum Debt to Total Capitalization Ratio (as defined in the Existing Credit Agreements) for the quarterly covenant tests conducted as of the last day of the fiscal quarters ending September 30, 2024, December 31, 2024 and March 31, 2025. The Amended Credit Agreements also add a financial covenant that requires a minimum consolidated liquidity (generally defined as unrestricted cash and cash equivalents plus available commitments under the Amended RCF) of $100.0 million as of the last day of any fiscal quarter, commencing as of September 30, 2024 (or in case of the Amended TLA, commencing December 31, 2024).</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Amended Credit Agreements also prohibit the Company from making certain restricted payments, including dividends on the Company’s common stock in excess of $0.10 per share per fiscal quarter, incurring liens on certain collateral, engaging in affiliate transactions involving certain collateral and consummating asset sales involving certain collateral.</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Amendment will become effective upon the satisfaction of certain conditions on or before September 30, 2024. There can be no assurances that these conditions will be satisfied.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20" w:firstLine="486"/>
        <w:spacing w:after="0" w:line="237" w:lineRule="auto"/>
        <w:rPr>
          <w:sz w:val="20"/>
          <w:szCs w:val="20"/>
          <w:color w:val="auto"/>
        </w:rPr>
      </w:pPr>
      <w:r>
        <w:rPr>
          <w:rFonts w:ascii="Times New Roman" w:cs="Times New Roman" w:eastAsia="Times New Roman" w:hAnsi="Times New Roman"/>
          <w:sz w:val="18"/>
          <w:szCs w:val="18"/>
          <w:color w:val="auto"/>
        </w:rPr>
        <w:t>This communication contains certain statements and information that may constitute “forward-looking statements” within the meaning of the Private Securities Litigation Reform Act of 1995. All statements contained in this communication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“approximately,” “predicts,” “intends,” “plans,” “estimates,” “anticipates,” or the negative version of those words or other comparable 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ind w:right="20"/>
        <w:spacing w:after="0" w:line="237" w:lineRule="auto"/>
        <w:rPr>
          <w:sz w:val="20"/>
          <w:szCs w:val="20"/>
          <w:color w:val="auto"/>
        </w:rPr>
      </w:pPr>
      <w:r>
        <w:rPr>
          <w:rFonts w:ascii="Times New Roman" w:cs="Times New Roman" w:eastAsia="Times New Roman" w:hAnsi="Times New Roman"/>
          <w:sz w:val="18"/>
          <w:szCs w:val="18"/>
          <w:color w:val="auto"/>
        </w:rPr>
        <w:t>estimates based upon current information and are subject to risks, uncertainties and other factors, many of which are outside of the Company’s control, that could cause actual results to differ materially from the results discussed in the forward-looking statements.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quarterly and other reports filed with the SEC, which could cause its actual results to differ materially from those contained in any forward-looking statement. The Company undertakes no duty to update these forward-looking statements, even though its situation may change in the future.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45"/>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60" w:type="dxa"/>
            <w:vAlign w:val="bottom"/>
            <w:vMerge w:val="restart"/>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5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0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2045"/>
        </w:trPr>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270"/>
        </w:trPr>
        <w:tc>
          <w:tcPr>
            <w:tcW w:w="5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40" w:type="dxa"/>
            <w:vAlign w:val="bottom"/>
          </w:tcPr>
          <w:p>
            <w:pPr>
              <w:spacing w:after="0"/>
              <w:rPr>
                <w:sz w:val="23"/>
                <w:szCs w:val="23"/>
                <w:color w:val="auto"/>
              </w:rPr>
            </w:pPr>
          </w:p>
        </w:tc>
      </w:tr>
      <w:tr>
        <w:trPr>
          <w:trHeight w:val="26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Date: September 6, 2024</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524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524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2024-09-06T16:23:46Z</dcterms:created>
  <dcterms:modified xsi:type="dcterms:W3CDTF">2024-09-06T16:23:46Z</dcterms:modified>
</cp:coreProperties>
</file>