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76"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76"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76"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20"/>
          <w:shd w:fill="FFFFFF" w:val="clear"/>
        </w:rPr>
        <w:t>Date of Report (Date of earliest event reported): May 1,</w:t>
      </w:r>
      <w:r>
        <w:rPr>
          <w:color w:val="000000"/>
        </w:rPr>
        <w:t xml:space="preserve"> </w:t>
      </w:r>
      <w:r>
        <w:rPr>
          <w:rFonts w:ascii="Times New Roman;serif" w:hAnsi="Times New Roman;serif"/>
          <w:b/>
          <w:color w:val="000000"/>
          <w:sz w:val="20"/>
        </w:rPr>
        <w:t>2026</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New Fortress Energy Inc.</w:t>
      </w:r>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before="0" w:after="0"/>
        <w:jc w:val="left"/>
        <w:rPr/>
      </w:pPr>
      <w:r>
        <w:rPr/>
      </w:r>
    </w:p>
    <w:tbl>
      <w:tblPr>
        <w:tblW w:w="7768" w:type="dxa"/>
        <w:jc w:val="left"/>
        <w:tblInd w:w="0" w:type="dxa"/>
        <w:tblLayout w:type="fixed"/>
        <w:tblCellMar>
          <w:top w:w="28" w:type="dxa"/>
          <w:left w:w="28" w:type="dxa"/>
          <w:bottom w:w="28" w:type="dxa"/>
          <w:right w:w="28" w:type="dxa"/>
        </w:tblCellMar>
      </w:tblPr>
      <w:tblGrid>
        <w:gridCol w:w="1172"/>
        <w:gridCol w:w="1028"/>
        <w:gridCol w:w="1040"/>
        <w:gridCol w:w="662"/>
        <w:gridCol w:w="662"/>
        <w:gridCol w:w="670"/>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001-38790</w:t>
            </w:r>
          </w:p>
        </w:tc>
        <w:tc>
          <w:tcPr>
            <w:tcW w:w="25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83-1482060</w:t>
            </w:r>
          </w:p>
        </w:tc>
      </w:tr>
      <w:tr>
        <w:trPr/>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tbl>
      <w:tblPr>
        <w:tblW w:w="4722" w:type="dxa"/>
        <w:jc w:val="left"/>
        <w:tblInd w:w="0" w:type="dxa"/>
        <w:tblLayout w:type="fixed"/>
        <w:tblCellMar>
          <w:top w:w="28" w:type="dxa"/>
          <w:left w:w="28" w:type="dxa"/>
          <w:bottom w:w="28" w:type="dxa"/>
          <w:right w:w="28" w:type="dxa"/>
        </w:tblCellMar>
      </w:tblPr>
      <w:tblGrid>
        <w:gridCol w:w="1215"/>
        <w:gridCol w:w="1068"/>
        <w:gridCol w:w="1077"/>
        <w:gridCol w:w="109"/>
        <w:gridCol w:w="109"/>
        <w:gridCol w:w="109"/>
        <w:gridCol w:w="303"/>
        <w:gridCol w:w="303"/>
        <w:gridCol w:w="429"/>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111 W. 19th Street, 8th Floor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10011</w:t>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76" w:before="0" w:after="0"/>
        <w:jc w:val="center"/>
        <w:rPr/>
      </w:pPr>
      <w:r>
        <w:rPr>
          <w:rFonts w:ascii="Times New Roman;serif" w:hAnsi="Times New Roman;serif"/>
          <w:b w:val="false"/>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(516) 268-7400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12(b) of the Act:</w:t>
      </w:r>
    </w:p>
    <w:p>
      <w:pPr>
        <w:pStyle w:val="TextBody"/>
        <w:bidi w:val="0"/>
        <w:spacing w:before="0" w:after="0"/>
        <w:jc w:val="center"/>
        <w:rPr/>
      </w:pPr>
      <w:r>
        <w:rPr/>
      </w:r>
    </w:p>
    <w:p>
      <w:pPr>
        <w:pStyle w:val="TextBody"/>
        <w:bidi w:val="0"/>
        <w:spacing w:before="0" w:after="0"/>
        <w:jc w:val="left"/>
        <w:rPr/>
      </w:pPr>
      <w:r>
        <w:rPr/>
      </w:r>
    </w:p>
    <w:tbl>
      <w:tblPr>
        <w:tblW w:w="9659" w:type="dxa"/>
        <w:jc w:val="left"/>
        <w:tblInd w:w="0" w:type="dxa"/>
        <w:tblLayout w:type="fixed"/>
        <w:tblCellMar>
          <w:top w:w="28" w:type="dxa"/>
          <w:left w:w="28" w:type="dxa"/>
          <w:bottom w:w="28" w:type="dxa"/>
          <w:right w:w="28" w:type="dxa"/>
        </w:tblCellMar>
      </w:tblPr>
      <w:tblGrid>
        <w:gridCol w:w="1570"/>
        <w:gridCol w:w="1374"/>
        <w:gridCol w:w="1391"/>
        <w:gridCol w:w="539"/>
        <w:gridCol w:w="539"/>
        <w:gridCol w:w="541"/>
        <w:gridCol w:w="1085"/>
        <w:gridCol w:w="1085"/>
        <w:gridCol w:w="1535"/>
      </w:tblGrid>
      <w:tr>
        <w:trPr/>
        <w:tc>
          <w:tcPr>
            <w:tcW w:w="15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r>
              <w:rPr>
                <w:rFonts w:ascii="Times New Roman;serif" w:hAnsi="Times New Roman;serif"/>
                <w:b/>
                <w:color w:val="000000"/>
                <w:sz w:val="20"/>
              </w:rPr>
              <w:t>NFE”</w:t>
            </w:r>
          </w:p>
          <w:p>
            <w:pPr>
              <w:pStyle w:val="TableContents"/>
              <w:bidi w:val="0"/>
              <w:spacing w:before="0" w:after="0"/>
              <w:jc w:val="center"/>
              <w:rPr/>
            </w:pPr>
            <w:r>
              <w:rPr/>
            </w:r>
          </w:p>
        </w:tc>
        <w:tc>
          <w:tcPr>
            <w:tcW w:w="37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76" w:before="0" w:after="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Emerging growth company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900"/>
        <w:jc w:val="both"/>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before="0" w:after="0"/>
        <w:ind w:left="0" w:right="0" w:hanging="90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2026, New Fortress Energy Inc. (the “Company”) received written notice (the “Notice”) from the Listing Qualifications Department of The Nasdaq Stock Market (“Nasdaq”) notifying the Company that, based on the closing bid price of the Company’s Class A common stock, par value $0.01 per share (the “Common Stock”), for the last 30 consecutive trading days, the Company no longer complies with the minimum bid price requirement for continued listing on The Nasdaq Global Market. Nasdaq Listing Rule 5450(a)(1) requires listed securities to maintain a minimum bid price of $1.00 per share (the “Minimum Bid Price Requirement”), and Nasdaq Listing Rule 5810(c)(3)(A) provides that a failure to meet the Minimum Bid Price Requirement exists if the deficiency continues for a period of 30 consecutive trading days.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Notice has no immediate effect on the listing of the Common Stock on Nasdaq. Pursuant to the Nasdaq Listing Rules, the Company has been provided an initial compliance period of 180 calendar days to regain compliance with the Minimum Bid Price Requirement. To regain compliance, the closing bid price of the Common Stock must be at least $1.00 per share for a minimum of 10 consecutive trading days prior to October 28, 2026, and the Company must otherwise satisfy Nasdaq’s requirements for continued listing. If the Company does not regain compliance within the compliance period(s), including any extensions that may be granted by Nasdaq, the Common Stock will be subject to delisting.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intends to actively monitor the closing bid price of its Common Stock and evaluate all available options to regain compliance with the applicable Nasdaq listing rules. To that end, the Company intends to seek stockholder approval for the implementation of a reverse split of the Company’s outstanding common stock. Although the Company is taking definitive steps to regain compliance with the applicable rules, there can be no assurance that the Company will be successful in its effort to regain compliance with the Nasdaq listing rules.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Cautionary Statement Regarding Forward Looking Statements</w:t>
      </w:r>
    </w:p>
    <w:p>
      <w:pPr>
        <w:pStyle w:val="TextBody"/>
        <w:bidi w:val="0"/>
        <w:spacing w:before="0" w:after="0"/>
        <w:jc w:val="both"/>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includes “forward-looking statements” within the meaning of Section 27A of the Securities Act and Section 21E of the Exchange Act, including, in particular, any statements about our plans, strategies, objectives, initiatives, roadmap and prospects. We generally use the words “may,” “will,” “could,” “expect,” “anticipate,” “believe,” “estimate,” “plan,” “intend,” “aim” and similar expressions in this Current Report on Form 8-K to identify forward-looking statements. We have based these forward-looking statements on our current views with respect to future events and financial performance. Actual results could differ materially from those projected in the forward-looking statements. These forward-looking statements, include, but are not limited to, statements related to the Company’s intent or ability to regain compliance with the Nasdaq listing rules and the Company’s intentions to actively monitor the closing bid price of the Common Stock and to evaluate available options to regain compliance with the Nasdaq listing rules within the required time period. The Company’s actual results may differ materially from those anticipated in these forward-looking statements as a result of certain risks and other factors, including the risks described in the section entitled “Risk Factors” in Part I, Item 1A of the Company’s Annual Report on Form 10-K for the fiscal year ended December 31, 2025 and elsewhere in the Company’s quarterly and other reports filed with the U.S. Securities and Exchange Commission. You should not put undue reliance on any forward-looking statements. You should understand that many important factors, including those identified herein, could cause our results to differ materially from those expressed or suggested in any forward-looking statement. Except as required by law, we do not undertake any obligation to update or revise these forward-looking statements to reflect new information or events or circumstances that occur after the date of the filing of this Current Report on Form 8-K or to reflect the occurrence of unanticipated events or otherwise.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171" w:type="dxa"/>
        <w:jc w:val="left"/>
        <w:tblInd w:w="0" w:type="dxa"/>
        <w:tblLayout w:type="fixed"/>
        <w:tblCellMar>
          <w:top w:w="28" w:type="dxa"/>
          <w:left w:w="28" w:type="dxa"/>
          <w:bottom w:w="28" w:type="dxa"/>
          <w:right w:w="28" w:type="dxa"/>
        </w:tblCellMar>
      </w:tblPr>
      <w:tblGrid>
        <w:gridCol w:w="591"/>
        <w:gridCol w:w="520"/>
        <w:gridCol w:w="523"/>
        <w:gridCol w:w="464"/>
        <w:gridCol w:w="464"/>
        <w:gridCol w:w="464"/>
        <w:gridCol w:w="625"/>
        <w:gridCol w:w="625"/>
        <w:gridCol w:w="89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3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NEW FORTRESS ENERGY INC.</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37" w:type="dxa"/>
            <w:gridSpan w:val="6"/>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S. Guinta</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14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 Guinta</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1040</Words>
  <Characters>5728</Characters>
  <CharactersWithSpaces>6711</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