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17, 2025</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113" w:lineRule="exact"/>
        <w:rPr>
          <w:sz w:val="24"/>
          <w:szCs w:val="24"/>
          <w:color w:val="auto"/>
        </w:rPr>
      </w:pPr>
    </w:p>
    <w:p>
      <w:pPr>
        <w:sectPr>
          <w:pgSz w:w="11900" w:h="16838" w:orient="portrait"/>
          <w:cols w:equalWidth="0" w:num="2">
            <w:col w:w="8120" w:space="720"/>
            <w:col w:w="2240"/>
          </w:cols>
          <w:pgMar w:left="320" w:top="1029"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ectPr>
          <w:pgSz w:w="11900" w:h="16838" w:orient="portrait"/>
          <w:cols w:equalWidth="0" w:num="1">
            <w:col w:w="11080"/>
          </w:cols>
          <w:pgMar w:left="320" w:top="1029" w:right="499" w:bottom="1440" w:gutter="0" w:footer="0" w:header="0"/>
          <w:type w:val="continuous"/>
        </w:sectPr>
      </w:pPr>
    </w:p>
    <w:p>
      <w:pPr>
        <w:spacing w:after="0" w:line="200" w:lineRule="exact"/>
        <w:rPr>
          <w:sz w:val="24"/>
          <w:szCs w:val="24"/>
          <w:color w:val="auto"/>
        </w:r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6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23"/>
        </w:trPr>
        <w:tc>
          <w:tcPr>
            <w:tcW w:w="43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$0.01 per</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800" w:type="dxa"/>
            <w:vAlign w:val="bottom"/>
          </w:tcPr>
          <w:p>
            <w:pPr>
              <w:spacing w:after="0"/>
              <w:rPr>
                <w:sz w:val="19"/>
                <w:szCs w:val="19"/>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1040" w:type="dxa"/>
            <w:vAlign w:val="bottom"/>
          </w:tcPr>
          <w:p>
            <w:pPr>
              <w:spacing w:after="0"/>
              <w:rPr>
                <w:sz w:val="20"/>
                <w:szCs w:val="20"/>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378"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B Forbearance Agreement</w:t>
      </w:r>
    </w:p>
    <w:p>
      <w:pPr>
        <w:spacing w:after="0" w:line="25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New Fortress Energy Inc. (the “Company”), as borrower, did not make the interest payment of approximately $30,644,000 due under that certain Credit Agreement, dated as of October 30, 2023 (as amended, restated, supplemented or otherwise modified from time to time, the “TLB Credit Agreement”), by and among the Company, as the borrower, the guarantors from time to time party thereto, Morgan Stanley Senior Funding, Inc., as administrative agent and collateral agent, and each of the other financial institutions from time to time party thereto as lenders, on December 10, 2025, and has informed the lenders that it does not plan to make certain principal payments due on December 31, 2025. An event of default under the TLB Credit Agreement arose on December 17, 2025, when the contractual grace period for interest payments on the loans expired, and an event of default under the TLB Credit Agreement would arise on December 31, 2025 when the Company fails to make the principal payments then due. On December 17, 2025, the Company and certain of its subsidiaries entered into a forbearance agreement with certain lenders to the TLB Credit Agreement constituting the “Required Lenders” thereunder (the “Term Loan B Forbearance Agreement”), pursuant to which such lenders agreed to forbear from accelerating or exercising remedies in respect of such events of default.</w:t>
      </w:r>
    </w:p>
    <w:p>
      <w:pPr>
        <w:spacing w:after="0" w:line="2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Unless earlier terminated, the Term Loan B Forbearance Agreement will terminate on January 9, 2026. Upon the termination of the Term Loan B Forbearance Agreement, if a further forbearance or debt restructuring is not agreed to, the lenders could accelerate the outstanding principal balance of the loans and all other amounts owing under the TLB Credit Agreement and other loan documents, in which case substantially all of the Company’s other outstanding debt would become payable on demand. The Term Loan B Forbearance Agreement contains conditions, covenants, termination rights and other provisions customary for forbearance agreements of that type.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A Forbearance Agreement</w:t>
      </w:r>
    </w:p>
    <w:p>
      <w:pPr>
        <w:spacing w:after="0" w:line="25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 as borrower, did not make the interest payment of approximately $1,600,000 due under the TLA Credit Agreement (as defined below) on December 10, 2025. An event of default under the TLA Credit Agreement arose on December 17, 2025, when the contractual grace period for interest payments on the loans expired. On December 17, 2025, the Company and certain of its subsidiaries entered into a forbearance agreement (the “Term Loan A Forbearance Agreement”), with certain lenders to the TLA Credit Agreement, pursuant to which such lenders agreed to forbear from accelerating or exercising remedies in respect of such event of default.</w:t>
      </w:r>
    </w:p>
    <w:p>
      <w:pPr>
        <w:spacing w:after="0" w:line="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Unless earlier terminated, the Term Loan A Forbearance Agreement will terminate on January 9, 2026. Upon the termination of the Term Loan A Forbearance Agreement, if a further forbearance or debt restructuring is not agreed to, the lenders could accelerate the outstanding principal balance of the loans and all other amounts owing under the TLA Credit Agreement and other loan documents. The Term Loan A Forbearance Agreement contains conditions, covenants, termination rights and other provisions customary for forbearance agreements of that type.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Letter of Credit Facility</w:t>
      </w:r>
    </w:p>
    <w:p>
      <w:pPr>
        <w:spacing w:after="0" w:line="25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of December 17, 2025, the Company entered into the Thirteenth Amendment Agreement (the “Thirteenth Amendment”), by and among the Company, as the borrower, the guarantors party thereto, Natixis, New York Branch, as administrative agent, and each of the other financial institutions party thereto, as lenders and issuing banks, which amends that certain Letter of Credit and Reimbursement Agreement, dated as of July 16, 2021 (as amended, restated, supplemented or otherwise modified from time to time, the “Letter of Credit Agreement”), by and among the Company, as the borrower, the guarantors from time to time party thereto, Natixis, New York Branch, as administrative agent and collateral agent, and each of the other financial institutions from time to time party thereto, as lenders and issuing banks, to provide that if, among other things, the Company fails to maintain the Term Loan A Forbearance Agreement and the Term Loan B Forbearance Agreement in full force and effect or materially violates its terms, an event of default would occur under the Letter of Credit Agreement. If such events of default occur, the lenders and issuing banks would have the right to require cash collateralization of all outstanding letters of credit issued pursuant to the Letter of Credit Agreement. If the lenders and issuing banks choose to exercise such rights under those facilities, substantially all of the Company’s outstanding indebtedness could be accelerated, and the Company may be required or compelled to pursue additional restructuring initiatives to preserve value and optionality, including possible out of court restructurings, or in-court relief, which could have a material and adverse impact 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719455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 w:name="page3"/>
    <w:bookmarkEnd w:id="2"/>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Thirteenth Amendment also, among other things and subject to certain exceptions described therein, removes certain flexibility the Company had to pay dividends and other distributions, incur indebtedness for borrowed money, consummate asset sales, make intercompany transfer of assets and make investments.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Revolving Credit Facility</w:t>
      </w:r>
    </w:p>
    <w:p>
      <w:pPr>
        <w:spacing w:after="0" w:line="2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of December 17, 2025, the Company entered into the Fourteenth Amendment Agreement (the “Fourteenth Amendment”), by and among the Company, as the borrower, the guarantors party thereto, MUFG Bank, Ltd., as administrative agent, and each of the other financial institutions party thereto, as lenders and issuing banks, which amends that certain Credit Agreement, dated as of April 15, 2021 (as amended, restated, supplemented or otherwise modified from time to time, the “RCF Credit Agreement”), by and among the Company, as the borrower, the guarantors from time to time party thereto, MUFG Bank, Ltd., as administrative agent and collateral agent, and each of the other financial institutions from time to time party thereto as lenders, to provide that if, among other things, the Company fails to maintain the Term Loan A Forbearance Agreement and the Term Loan B Forbearance Agreement in full force and effect or materially violates its terms, an event of default would occur under the RCF Credit Agreement. If such events of default occur, the lenders would have the right to accelerate the repayment of the outstanding principal under the RCF Credit Agreement. If the lenders and issuing banks choose to exercise such rights under those facilities, substantially all of the Company’s outstanding indebtedness could be accelerated, and the Company may be required or compelled to pursue additional restructuring initiatives to preserve value and optionality, including possible out of court restructurings, or in-court relief, which could have a material and adverse impact on stockholders.</w:t>
      </w:r>
    </w:p>
    <w:p>
      <w:pPr>
        <w:spacing w:after="0" w:line="2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Fourteenth Amendment also, among other things and subject to certain exceptions described therein, removes certain flexibility the Company had to pay dividends and other distributions, incur indebtedness for borrowed money, consummate asset sales, make intercompany transfer of assets and make investments.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Term Loan A Credit Facility</w:t>
      </w:r>
    </w:p>
    <w:p>
      <w:pPr>
        <w:spacing w:after="0" w:line="25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of December 17, 2025, the Company entered into the Seventh Amendment Agreement (the “Seventh Amendment”), by and among the Company, as the borrower, the guarantors party thereto, Morgan Stanley Senior Funding, Inc., as administrative agent, and each of the other financial institutions party thereto as lenders, which amends that certain Credit Agreement, dated as of July 19, 2024 (as amended, restated, supplemented or otherwise modified from time to time, the “TLA Credit Agreement”), by and among the Company, as the borrower, the guarantors from time to time party thereto, Morgan Stanley Senior Funding, Inc., as administrative agent and collateral agent, and each of the other financial institutions from time to time party thereto as lenders, to provide that if, among other things, the Company fails to maintain the Term Loan B Forbearance Agreement in full force and effect or materially violates its terms, an event of default would occur under the TLA Credit Agreement. If such events of default occur, the lenders would have the right to accelerate the repayment of the outstanding principal under the TLA Credit Agreement. If the lenders choose to exercise such rights under those facilities, substantially all of the Company’s outstanding indebtedness could be accelerated, and the Company may be required or compelled to pursue additional restructuring initiatives to preserve value and optionality, including possible out of court restructurings, or in-court relief, which could have a material and adverse impact on stockholders.</w:t>
      </w:r>
    </w:p>
    <w:p>
      <w:pPr>
        <w:spacing w:after="0" w:line="2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Seventh Amendment also, among other things and subject to certain exceptions described therein, removes certain flexibility the Company had to pay dividends and other distributions, incur indebtedness for borrowed money, consummate asset sales, make intercompany transfer of assets and make investments.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 No.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7"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664845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66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53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19, 2025</w:t>
            </w:r>
          </w:p>
        </w:tc>
        <w:tc>
          <w:tcPr>
            <w:tcW w:w="24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3540" w:type="dxa"/>
            <w:vAlign w:val="bottom"/>
          </w:tcPr>
          <w:p>
            <w:pPr>
              <w:spacing w:after="0"/>
              <w:rPr>
                <w:sz w:val="21"/>
                <w:szCs w:val="21"/>
                <w:color w:val="auto"/>
              </w:rPr>
            </w:pPr>
          </w:p>
        </w:tc>
        <w:tc>
          <w:tcPr>
            <w:tcW w:w="24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7"/>
        </w:trPr>
        <w:tc>
          <w:tcPr>
            <w:tcW w:w="3540" w:type="dxa"/>
            <w:vAlign w:val="bottom"/>
          </w:tcPr>
          <w:p>
            <w:pPr>
              <w:spacing w:after="0"/>
              <w:rPr>
                <w:sz w:val="22"/>
                <w:szCs w:val="22"/>
                <w:color w:val="auto"/>
              </w:rPr>
            </w:pPr>
          </w:p>
        </w:tc>
        <w:tc>
          <w:tcPr>
            <w:tcW w:w="24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9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2025-12-19T15:43:15Z</dcterms:created>
  <dcterms:modified xsi:type="dcterms:W3CDTF">2025-12-19T15:43:15Z</dcterms:modified>
</cp:coreProperties>
</file>