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14, 2025</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1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08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1"/>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62"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On February 14, 2025, New Fortress Energy Inc. (the “Company”) filed a prospectus supplement (the “Resale Prospectus Supplement”) to its previously filed automatic shelf registration statement on Form S-3 (File No. 333-277611) registering the resale of up to an aggregate of 14,455,006 shares of the Company’s Class A common stock, par value $0.01 per share (the “Shares”) which may be used by the selling securityholders identified therein (the “Selling Securityholders”), to resell the Shares covered thereby.</w:t>
      </w:r>
    </w:p>
    <w:p>
      <w:pPr>
        <w:spacing w:after="0" w:line="15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The Shares were originally issued on December 6, 2024 by the Company in satisfaction of the Company’s commitment fee obligations under certain exchange and subscription agreements, as previously disclosed in our Current Report on Form 8K filed on December 11, 2024. The Selling Securityholders have previously agreed to a lock-up providing for certain restrictions on the transfer of the Shares through June 6, 2025. The Company will not receive any proceeds from any sale of Shares by the Selling Securityholders.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filing this report to provide the legal opinion as to the validity of the Shares covered by the Resale Prospectus Supplement, which opinion is attached hereto as Exhibit 5.1.</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10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415"/>
        </w:trPr>
        <w:tc>
          <w:tcPr>
            <w:tcW w:w="2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9"/>
        </w:trPr>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91"/>
              </w:rPr>
              <w:t>5.</w:t>
            </w:r>
            <w:r>
              <w:rPr>
                <w:rFonts w:ascii="Times New Roman" w:cs="Times New Roman" w:eastAsia="Times New Roman" w:hAnsi="Times New Roman"/>
                <w:sz w:val="14"/>
                <w:szCs w:val="14"/>
                <w:u w:val="single" w:color="auto"/>
                <w:color w:val="auto"/>
                <w:w w:val="91"/>
              </w:rPr>
              <w:t>1</w:t>
            </w:r>
          </w:p>
        </w:tc>
        <w:tc>
          <w:tcPr>
            <w:tcW w:w="540" w:type="dxa"/>
            <w:vAlign w:val="bottom"/>
          </w:tcPr>
          <w:p>
            <w:pPr>
              <w:spacing w:after="0"/>
              <w:rPr>
                <w:sz w:val="12"/>
                <w:szCs w:val="12"/>
                <w:color w:val="auto"/>
              </w:rPr>
            </w:pPr>
          </w:p>
        </w:tc>
        <w:tc>
          <w:tcPr>
            <w:tcW w:w="1054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Opinion of Skadden, Arps, Slate, Meagher &amp; Flom LLP regarding the validity of the Shares.</w:t>
            </w:r>
          </w:p>
        </w:tc>
      </w:tr>
      <w:tr>
        <w:trPr>
          <w:trHeight w:val="224"/>
        </w:trPr>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10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Consent of Skadden, Arps, Slate, Meagher &amp; Flom LLP (included in Exhibit 5.1).</w:t>
            </w:r>
          </w:p>
        </w:tc>
      </w:tr>
      <w:tr>
        <w:trPr>
          <w:trHeight w:val="202"/>
        </w:trPr>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88"/>
        </w:trPr>
        <w:tc>
          <w:tcPr>
            <w:tcW w:w="20" w:type="dxa"/>
            <w:vAlign w:val="bottom"/>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February 14, 2025</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2025-02-14T15:35:47Z</dcterms:created>
  <dcterms:modified xsi:type="dcterms:W3CDTF">2025-02-14T15:35:47Z</dcterms:modified>
</cp:coreProperties>
</file>