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3399790</wp:posOffset>
            </wp:positionH>
            <wp:positionV relativeFrom="paragraph">
              <wp:posOffset>245745</wp:posOffset>
            </wp:positionV>
            <wp:extent cx="342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0" w:lineRule="exact"/>
        <w:rPr>
          <w:sz w:val="24"/>
          <w:szCs w:val="24"/>
          <w:color w:val="auto"/>
        </w:rPr>
      </w:pPr>
    </w:p>
    <w:p>
      <w:pPr>
        <w:spacing w:after="0" w:line="219"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1092200</wp:posOffset>
            </wp:positionV>
            <wp:extent cx="445770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New Fortress Energy Inc. Announces Results of Early Consent Solicitation and Extension of Early Consent Deadline to April 8, 2026</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Overwhelming Support of Over 95% of Lenders Achieved</w:t>
      </w:r>
    </w:p>
    <w:p>
      <w:pPr>
        <w:spacing w:after="0" w:line="243"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20"/>
          <w:szCs w:val="20"/>
          <w:color w:val="auto"/>
        </w:rPr>
        <w:t>New Fortress Energy Inc. (NASDAQ: NFE) (“</w:t>
      </w:r>
      <w:r>
        <w:rPr>
          <w:rFonts w:ascii="Times New Roman" w:cs="Times New Roman" w:eastAsia="Times New Roman" w:hAnsi="Times New Roman"/>
          <w:sz w:val="20"/>
          <w:szCs w:val="20"/>
          <w:b w:val="1"/>
          <w:bCs w:val="1"/>
          <w:color w:val="auto"/>
        </w:rPr>
        <w:t>NFE</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previously announced on March 17, 2026 that it entered into a Restructuring Support Agreement (“</w:t>
      </w:r>
      <w:r>
        <w:rPr>
          <w:rFonts w:ascii="Times New Roman" w:cs="Times New Roman" w:eastAsia="Times New Roman" w:hAnsi="Times New Roman"/>
          <w:sz w:val="20"/>
          <w:szCs w:val="20"/>
          <w:b w:val="1"/>
          <w:bCs w:val="1"/>
          <w:color w:val="auto"/>
        </w:rPr>
        <w:t>RSA</w:t>
      </w:r>
      <w:r>
        <w:rPr>
          <w:rFonts w:ascii="Times New Roman" w:cs="Times New Roman" w:eastAsia="Times New Roman" w:hAnsi="Times New Roman"/>
          <w:sz w:val="20"/>
          <w:szCs w:val="20"/>
          <w:color w:val="auto"/>
        </w:rPr>
        <w:t>”) with its creditors as part of a consensual UK Restructuring Plan (“</w:t>
      </w:r>
      <w:r>
        <w:rPr>
          <w:rFonts w:ascii="Times New Roman" w:cs="Times New Roman" w:eastAsia="Times New Roman" w:hAnsi="Times New Roman"/>
          <w:sz w:val="20"/>
          <w:szCs w:val="20"/>
          <w:b w:val="1"/>
          <w:bCs w:val="1"/>
          <w:color w:val="auto"/>
        </w:rPr>
        <w:t>UK RP</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NFE is pleased to announce that it has received strong indications of support for the previously announced transaction, to be implemented through a UK RP, from its stakeholders, including holders and lenders representing over 95% of its approximately $5.8 billion principal amount of NFE’s aggregate indebtedness, including, approximately:</w:t>
      </w:r>
    </w:p>
    <w:p>
      <w:pPr>
        <w:spacing w:after="0" w:line="195" w:lineRule="exact"/>
        <w:rPr>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93% of holders of the 2026 Legacy Notes;</w:t>
      </w:r>
    </w:p>
    <w:p>
      <w:pPr>
        <w:spacing w:after="0" w:line="2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87% of holders of the 2029 Legacy Notes;</w:t>
      </w:r>
    </w:p>
    <w:p>
      <w:pPr>
        <w:spacing w:after="0" w:line="6"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 of holders of the 2029 New Notes;</w:t>
      </w:r>
    </w:p>
    <w:p>
      <w:pPr>
        <w:spacing w:after="0" w:line="6"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lenders of the Term Loan A;</w:t>
      </w:r>
    </w:p>
    <w:p>
      <w:pPr>
        <w:spacing w:after="0" w:line="13"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88% of lenders of the Term Loan B; and</w:t>
      </w:r>
    </w:p>
    <w:p>
      <w:pPr>
        <w:spacing w:after="0" w:line="6"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lenders of the Revolving Credit Facility.</w:t>
      </w:r>
    </w:p>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To ensure all holders who intend to accede to the RSA have ample time to submit directions via their custodians, the Company is announcing today the extension of the deadline for creditors to accede to the RSA and, provided certain conditions are met, be eligible for an early consent fee, to 5:00pm, New York City time, on April 8, 2026. Any questions on how to accede to the RSA including submitting direction through the clearing systems should be directed to the information agent, Kroll Issuer Services Limited, at the email address nfe@is.kroll.com and further information is available on its website https://deals.is.kroll.com/nfe.</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As previously announced, the Company expects to launch the UK RP process in April and the transaction is expected to be completed by the third quarter of 2026, subject to court availability, customary conditions and regulatory approvals. This expected timeline is on track and remains unchanged.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New Fortress Energy Inc.</w:t>
      </w:r>
    </w:p>
    <w:p>
      <w:pPr>
        <w:spacing w:after="0" w:line="22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Offer or Solicitation</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The information set forth in this press release is not an offer to sell or exchange, or solicitation of an offer to subscribe for or buy or an invitation to purchase or subscribe for, any securities, or the solicitation of a proxy, consent, or authorization in any jurisdiction or any vote or approval in any jurisdiction in connection with the transaction,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012305"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7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20"/>
          <w:szCs w:val="20"/>
          <w:color w:val="auto"/>
        </w:rPr>
        <w:t>stockholder approvals or otherwise, nor shall there be any sale, issuance or transfer of securities in any jurisdiction in contravention of applicable law. In particular, this communication is not an offer of securities for sale into the United States. No offer of securities shall be made in the United States absent registration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or pursuant to an exemption from, or in a transaction not subject to, such registration requirements.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 and Where to Find It</w:t>
      </w:r>
    </w:p>
    <w:p>
      <w:pPr>
        <w:spacing w:after="0" w:line="1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This communication may be deemed to be solicitation material in respect of the transaction and the stockholder approvals. In connection with the transaction and the stockholder approvals, the Company will file with the U.S.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a proxy statement (as amended or supplemented from time to time, the “</w:t>
      </w:r>
      <w:r>
        <w:rPr>
          <w:rFonts w:ascii="Times New Roman" w:cs="Times New Roman" w:eastAsia="Times New Roman" w:hAnsi="Times New Roman"/>
          <w:sz w:val="19"/>
          <w:szCs w:val="19"/>
          <w:b w:val="1"/>
          <w:bCs w:val="1"/>
          <w:color w:val="auto"/>
        </w:rPr>
        <w:t>proxy statement</w:t>
      </w:r>
      <w:r>
        <w:rPr>
          <w:rFonts w:ascii="Times New Roman" w:cs="Times New Roman" w:eastAsia="Times New Roman" w:hAnsi="Times New Roman"/>
          <w:sz w:val="19"/>
          <w:szCs w:val="19"/>
          <w:color w:val="auto"/>
        </w:rPr>
        <w:t>”). BEFORE MAKING ANY VOTING DECISION, THE COMPANY’S STOCKHOLDERS ARE URGED TO READ THE PROXY STATEMENT AND OTHER RELEVANT DOCUMENTS FILED OR TO BE FILED WITH THE SEC IN CONNECTION WITH THE TRANSACTION AND THE STOCKHOLDER APPROVALS OR INCORPORATED BY REFERENCE IN THE PROXY STATEMENT (IF ANY) CAREFULLY AND IN THEIR ENTIRETY WHEN THEY BECOME AVAILABLE BECAUSE THEY WILL CONTAIN IMPORTANT INFORMATION ABOUT THE TRANSACTION AND THE STOCKHOLDER APPROVALS AND THE PARTIES TO THE TRANSACTION. Copies of the proxy statement and other relevant materials and any other documents filed by the Company with the SEC may be obtained free of charge at the SEC’s website, at www.sec.gov. In addition, stockholders and investors may obtain free copies of the proxy statement and other relevant materials by directing a request to: New Fortress Energy Inc., 111 W. 19th Street, 8th Floor, New York, New York 10011, Attention: Investor Relations.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Participants in Proxy Solicitation</w:t>
      </w:r>
    </w:p>
    <w:p>
      <w:pPr>
        <w:spacing w:after="0" w:line="1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 Company and certain of its directors and executive officers and other members of management and employees may be deemed to be participants in the solicitation of proxies from the Company’s stockholders in respect of the transaction and the stockholder approvals. Information about the directors and executive officers of the Company, including a description of their direct or indirect interests, by security holdings or otherwise, is set forth in the Company’s Annual Report on Form 10-K for the fiscal year ended December 31, 2024, filed with the SEC on March 10, 2025, and the Company’s Definitive Proxy Statement on Schedule 14A, filed with the SEC on April 29, 2025, including under the headings “Executive Compensation,” “Compensation Committee Report,” “Director Compensation” and “Security Ownership of Management and Certain Beneficial Owners.” To the extent holdings of NFE common stock by the directors and executive officers of NFE have changed from the amounts disclosed in such filings,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Other information regarding the persons who may be deemed participants in the proxy solicitations in connection with the transaction, and a description of any interests that they have in the transaction, by security holdings or otherwise, will be contained in the proxy statement to be filed with the SEC regarding the transaction and the stockholder approvals when they become available. Stockholders, potential investors, and other interested persons should read the proxy statement carefully before making any voting or investment decisions. You may obtain free copies of these documents from the sources indicated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15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color w:val="auto"/>
        </w:rPr>
        <w:t>This press release includes “forward-looking statements,” within the meaning of Section 27A of the Securities Act and Section 21E of the Exchange Act of 1934, as amended, including, in particular, any statements about our plans, strategies, objectives, initiatives, roadmap and prospects. We generally use the words “may,” “will,” “could,” “expect,” “anticipate,” “believe,” “estimate,” “plan,” “intend,” “aim” and similar expressions in this press release to identify forward-looking statements. We have based these forward-looking statements on our current views with respect to future events and financial performance. Actual results could differ materially from those projected in the forward-looking statements. These forward-looking statements, include, but are not limited to, statements related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01230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5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transaction described above, including the Company’s ability to complete the transaction on the terms contemplated by the RSA, on the timeline contemplated or at all, and the Company’s ability to realize the intended benefits of the transaction. The Company’s actual results may differ materially from those anticipated in these forward-looking statements as a result of certain risks and other factors. Additional risks that could cause future results to differ from those expressed by any forward-looking statement are described in the Company’s reports filed with the SEC, including in the section entitled “Risk Factors” in Part I, Item 1A of the Company’s Annual Report on Form 10-K for the fiscal year ended December 31, 2024 and the section entitled “Risk Factors” in Part II, Item 1A of the Company’s Quarterly Report on Form 10-Q for the quarter ended September 30, 2025. You should not put undue reliance on any forward-looking statements. You should understand that many important factors, including those identified herein,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the filing of this press release or to reflect the occurrence of unanticipated events or otherwise.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ir@newfortressenergy.com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press@newfortressenergy.com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01230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2305" cy="18859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2026-04-01T06:51:58Z</dcterms:created>
  <dcterms:modified xsi:type="dcterms:W3CDTF">2026-04-01T06:51:58Z</dcterms:modified>
</cp:coreProperties>
</file>