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May 18, 2026, New Fortress Energy Inc. (the “Company”) issued a press release announcing certain updates with respect to the implementation of its previously disclosed consensual UK Restructuring Plan.</w:t>
      </w:r>
    </w:p>
    <w:p>
      <w:pPr>
        <w:spacing w:after="0" w:line="20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information contained in Items 7.01 and 9.01 of this Current Report on Form 8-K, is being furnished and shall not be deemed “filed” for purposes of Section 18 of the Securities Exchange Act of 1934, as amended (the “Exchange Act”), or otherwise subject to the liabilities of that section. The information contained in Items 7.01 and 9.01 of this Current Report on Form 8-K shall not be incorporated by reference into any registration statement or other document or filing under the Securities Act of 1933, as amended (the “Securities Act”), or the Exchange Act, except as shall be expressly set forth by specific reference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10580" w:type="dxa"/>
            <w:vAlign w:val="bottom"/>
            <w:tcBorders>
              <w:top w:val="single" w:sz="8" w:color="auto"/>
            </w:tcBorders>
          </w:tcPr>
          <w:p>
            <w:pPr>
              <w:ind w:left="320"/>
              <w:spacing w:after="0" w:line="189" w:lineRule="exact"/>
              <w:rPr>
                <w:sz w:val="20"/>
                <w:szCs w:val="20"/>
                <w:color w:val="auto"/>
              </w:rPr>
            </w:pPr>
            <w:r>
              <w:rPr>
                <w:rFonts w:ascii="Times New Roman" w:cs="Times New Roman" w:eastAsia="Times New Roman" w:hAnsi="Times New Roman"/>
                <w:sz w:val="18"/>
                <w:szCs w:val="18"/>
                <w:color w:val="auto"/>
              </w:rPr>
              <w:t>Press release, dated May 18, 2026</w:t>
            </w:r>
          </w:p>
        </w:tc>
      </w:tr>
      <w:tr>
        <w:trPr>
          <w:trHeight w:val="291"/>
        </w:trPr>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40" w:type="dxa"/>
            <w:vAlign w:val="bottom"/>
          </w:tcPr>
          <w:p>
            <w:pPr>
              <w:spacing w:after="0"/>
              <w:rPr>
                <w:sz w:val="21"/>
                <w:szCs w:val="21"/>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6"/>
        </w:trPr>
        <w:tc>
          <w:tcPr>
            <w:tcW w:w="3340" w:type="dxa"/>
            <w:vAlign w:val="bottom"/>
          </w:tcPr>
          <w:p>
            <w:pPr>
              <w:spacing w:after="0"/>
              <w:rPr>
                <w:sz w:val="22"/>
                <w:szCs w:val="22"/>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894715</wp:posOffset>
            </wp:positionV>
            <wp:extent cx="4457700"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57700" cy="47180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New Fortress Energy Inc. Announces Court Approval to Convene Plan Meetings</w:t>
      </w:r>
    </w:p>
    <w:p>
      <w:pPr>
        <w:spacing w:after="0" w:line="22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9"/>
          <w:szCs w:val="19"/>
          <w:color w:val="auto"/>
        </w:rPr>
        <w:t>NEW YORK, NY – May 18, 2026 - New Fortress Energy Inc. (NASDAQ: NFE) (“</w:t>
      </w:r>
      <w:r>
        <w:rPr>
          <w:rFonts w:ascii="Times New Roman" w:cs="Times New Roman" w:eastAsia="Times New Roman" w:hAnsi="Times New Roman"/>
          <w:sz w:val="19"/>
          <w:szCs w:val="19"/>
          <w:b w:val="1"/>
          <w:bCs w:val="1"/>
          <w:color w:val="auto"/>
        </w:rPr>
        <w:t>NFE</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is pleased to announce that it has achieved the next step in the implementation of a consensual UK Restructuring Plan (“UK RP”). On May 14, 2026, the High Court made</w:t>
      </w:r>
    </w:p>
    <w:p>
      <w:pPr>
        <w:ind w:right="360"/>
        <w:spacing w:after="0" w:line="236" w:lineRule="auto"/>
        <w:rPr>
          <w:sz w:val="20"/>
          <w:szCs w:val="20"/>
          <w:color w:val="auto"/>
        </w:rPr>
      </w:pPr>
      <w:r>
        <w:rPr>
          <w:rFonts w:ascii="Times New Roman" w:cs="Times New Roman" w:eastAsia="Times New Roman" w:hAnsi="Times New Roman"/>
          <w:sz w:val="20"/>
          <w:szCs w:val="20"/>
          <w:color w:val="auto"/>
        </w:rPr>
        <w:t>an order granting the Plan Companies permission to convene meetings of their creditors for the purpose of considering and, if thought fit, approving the UK RP (the “</w:t>
      </w:r>
      <w:r>
        <w:rPr>
          <w:rFonts w:ascii="Times New Roman" w:cs="Times New Roman" w:eastAsia="Times New Roman" w:hAnsi="Times New Roman"/>
          <w:sz w:val="20"/>
          <w:szCs w:val="20"/>
          <w:b w:val="1"/>
          <w:bCs w:val="1"/>
          <w:color w:val="auto"/>
        </w:rPr>
        <w:t>Convening Order</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NFE previously announced on March 17, 2026, that it entered into a Restructuring Support Agreement (“</w:t>
      </w:r>
      <w:r>
        <w:rPr>
          <w:rFonts w:ascii="Times New Roman" w:cs="Times New Roman" w:eastAsia="Times New Roman" w:hAnsi="Times New Roman"/>
          <w:sz w:val="19"/>
          <w:szCs w:val="19"/>
          <w:b w:val="1"/>
          <w:bCs w:val="1"/>
          <w:color w:val="auto"/>
        </w:rPr>
        <w:t>RSA</w:t>
      </w:r>
      <w:r>
        <w:rPr>
          <w:rFonts w:ascii="Times New Roman" w:cs="Times New Roman" w:eastAsia="Times New Roman" w:hAnsi="Times New Roman"/>
          <w:sz w:val="19"/>
          <w:szCs w:val="19"/>
          <w:color w:val="auto"/>
        </w:rPr>
        <w:t>”) with its creditors as part of the UK RP. On April 20, 2026, NFE announced that its subsidiaries, NFE Global Holdings Limited and NFE Brazil Newco Limited, acting as</w:t>
      </w:r>
    </w:p>
    <w:p>
      <w:pPr>
        <w:spacing w:after="0"/>
        <w:rPr>
          <w:sz w:val="20"/>
          <w:szCs w:val="20"/>
          <w:color w:val="auto"/>
        </w:rPr>
      </w:pPr>
      <w:r>
        <w:rPr>
          <w:rFonts w:ascii="Times New Roman" w:cs="Times New Roman" w:eastAsia="Times New Roman" w:hAnsi="Times New Roman"/>
          <w:sz w:val="20"/>
          <w:szCs w:val="20"/>
          <w:color w:val="auto"/>
        </w:rPr>
        <w:t>Plan Companies, executed and published a practice statement letter in connection with the UK RP.</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Plan Meetings and Next Steps</w:t>
      </w:r>
    </w:p>
    <w:p>
      <w:pPr>
        <w:spacing w:after="0" w:line="135"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In accordance with the Convening Order, the Plan Companies have made the Explanatory Statement available to Plan Creditors on the website maintained by Kroll: https://deals.is.kroll.com/nfe. Further details, including information on how Plan Creditors submit a vote, are set out in the Explanatory Statement.</w:t>
      </w:r>
    </w:p>
    <w:p>
      <w:pPr>
        <w:spacing w:after="0" w:line="188"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19"/>
          <w:szCs w:val="19"/>
          <w:color w:val="auto"/>
        </w:rPr>
        <w:t>The deadline for submitting a voting instruction for voting at the Plan Meeting is 10:00 p.m. (London) / 5:00 p.m. (New York) on June 9, 2026. The Plan Meetings will be held on June 15, 2026. The Plan Meetings will be held as hybrid physical and virtual meetings, with the</w:t>
      </w:r>
    </w:p>
    <w:p>
      <w:pPr>
        <w:spacing w:after="0" w:line="1" w:lineRule="exact"/>
        <w:rPr>
          <w:sz w:val="20"/>
          <w:szCs w:val="20"/>
          <w:color w:val="auto"/>
        </w:rPr>
      </w:pPr>
    </w:p>
    <w:p>
      <w:pPr>
        <w:ind w:right="420"/>
        <w:spacing w:after="0" w:line="228" w:lineRule="auto"/>
        <w:rPr>
          <w:sz w:val="20"/>
          <w:szCs w:val="20"/>
          <w:color w:val="auto"/>
        </w:rPr>
      </w:pPr>
      <w:r>
        <w:rPr>
          <w:rFonts w:ascii="Times New Roman" w:cs="Times New Roman" w:eastAsia="Times New Roman" w:hAnsi="Times New Roman"/>
          <w:sz w:val="20"/>
          <w:szCs w:val="20"/>
          <w:color w:val="auto"/>
        </w:rPr>
        <w:t>physical meetings being held at the offices of Skadden, Arps, Slate, Meagher &amp; Flom (UK) LLP at 22 Bishopsgate, London EC2N 4BQ, United Kingdom.</w:t>
      </w:r>
    </w:p>
    <w:p>
      <w:pPr>
        <w:spacing w:after="0" w:line="20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auto"/>
        </w:rPr>
        <w:t>The UK RP is subject to the sanction of the court. The Sanction Hearing is scheduled for June 18, 2026. If sanctioned by the court, the UK RP is expected to be implemented by the third quarter of 2026, subject to customary conditions and regulatory approvals.</w:t>
      </w:r>
    </w:p>
    <w:p>
      <w:pPr>
        <w:spacing w:after="0" w:line="1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Creditors should contact the Information Agent at nfe@is.kroll.com with any questions on accessing the Plan Documentation – including to request provision of hard or electronic copies.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NFE Global Holdings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Suite 1, 7th Floor</w:t>
      </w:r>
    </w:p>
    <w:p>
      <w:pPr>
        <w:spacing w:after="0" w:line="13" w:lineRule="exact"/>
        <w:rPr>
          <w:sz w:val="20"/>
          <w:szCs w:val="20"/>
          <w:color w:val="auto"/>
        </w:rPr>
      </w:pPr>
    </w:p>
    <w:p>
      <w:pPr>
        <w:ind w:right="9580" w:firstLine="8"/>
        <w:spacing w:after="0" w:line="272" w:lineRule="auto"/>
        <w:tabs>
          <w:tab w:leader="none" w:pos="247"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Broadway London, SW1H 0BL United Kingdom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NFE Brazil Newco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Suite 1, 7th Floor</w:t>
      </w:r>
    </w:p>
    <w:p>
      <w:pPr>
        <w:spacing w:after="0" w:line="13" w:lineRule="exact"/>
        <w:rPr>
          <w:sz w:val="20"/>
          <w:szCs w:val="20"/>
          <w:color w:val="auto"/>
        </w:rPr>
      </w:pPr>
    </w:p>
    <w:p>
      <w:pPr>
        <w:ind w:right="9560" w:firstLine="8"/>
        <w:spacing w:after="0" w:line="272" w:lineRule="auto"/>
        <w:tabs>
          <w:tab w:leader="none" w:pos="247"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Broadway London, SW1H 0DB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01230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18859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About New Fortress Energy Inc.</w:t>
      </w:r>
    </w:p>
    <w:p>
      <w:pPr>
        <w:spacing w:after="0" w:line="26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New Fortress Energy Inc. (NASDAQ: NFE) is a global energy infrastructure company founded to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Offer or Solicitation</w:t>
      </w:r>
    </w:p>
    <w:p>
      <w:pPr>
        <w:spacing w:after="0" w:line="16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auto"/>
        </w:rPr>
        <w:t>The information set forth in this press release is not an offer to sell or exchange, or solicitation of an offer to subscribe for or buy or an invitation to purchase or subscribe for, any securities, or the solicitation of a proxy, consent, or authorization in any jurisdiction or any vote or approval in any jurisdiction in connection with the transaction, the stockholder approvals or otherwise, nor shall there be any sale, issuance or transfer of securities in any jurisdiction in contravention of applicable law. In particular, this communication is not an offer of securities for sale into the United States. No offer of securities shall be made in the United States absent registration under the Securities Act of 1933, as amended (the “</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or pursuant to an exemption from, or in a transaction not subject to, such registration requirements.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 and Where to Find It</w:t>
      </w:r>
    </w:p>
    <w:p>
      <w:pPr>
        <w:spacing w:after="0" w:line="16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color w:val="auto"/>
        </w:rPr>
        <w:t>This communication may be deemed to be solicitation material in respect of the transaction and the stockholder approvals. In connection with the transaction and the stockholder approvals, the Company will file with the U.S. Securities and Exchange Commission (the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a proxy statement (as amended or supplemented from time to time, the “</w:t>
      </w:r>
      <w:r>
        <w:rPr>
          <w:rFonts w:ascii="Times New Roman" w:cs="Times New Roman" w:eastAsia="Times New Roman" w:hAnsi="Times New Roman"/>
          <w:sz w:val="19"/>
          <w:szCs w:val="19"/>
          <w:b w:val="1"/>
          <w:bCs w:val="1"/>
          <w:color w:val="auto"/>
        </w:rPr>
        <w:t>proxy statement</w:t>
      </w:r>
      <w:r>
        <w:rPr>
          <w:rFonts w:ascii="Times New Roman" w:cs="Times New Roman" w:eastAsia="Times New Roman" w:hAnsi="Times New Roman"/>
          <w:sz w:val="19"/>
          <w:szCs w:val="19"/>
          <w:color w:val="auto"/>
        </w:rPr>
        <w:t>”). BEFORE MAKING ANY VOTING DECISION, THE COMPANY’S STOCKHOLDERS ARE URGED TO READ THE PROXY STATEMENT AND OTHER RELEVANT DOCUMENTS FILED OR TO BE FILED WITH THE SEC IN CONNECTION WITH THE TRANSACTION AND THE STOCKHOLDER APPROVALS OR INCORPORATED BY REFERENCE IN THE PROXY STATEMENT (IF ANY) CAREFULLY AND IN THEIR ENTIRETY WHEN THEY BECOME AVAILABLE BECAUSE THEY WILL CONTAIN IMPORTANT INFORMATION ABOUT THE TRANSACTION AND THE STOCKHOLDER APPROVALS AND THE PARTIES TO THE TRANSACTION. Copies of the proxy statement and other relevant materials and any other documents filed by the Company with the SEC may be obtained free of charge at the SEC’s website, at www.sec.gov. In addition, stockholders and investors may obtain free copies of the proxy statement and other relevant materials by directing a request to: New Fortress Energy Inc., 111 W. 19th Street, 8th Floor, New York, New York 10011, Attention: Investor Relations.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Participants in Proxy Solicitation</w:t>
      </w:r>
    </w:p>
    <w:p>
      <w:pPr>
        <w:spacing w:after="0" w:line="16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9"/>
          <w:szCs w:val="19"/>
          <w:color w:val="auto"/>
        </w:rPr>
        <w:t>The Company and certain of its directors and executive officers and other members of management and employees may be deemed to be participants in the solicitation of proxies from the Company’s stockholders in respect of the transaction and the stockholder approvals. Information about the directors and executive officers of the Company, including a description of their direct or indirect interests, by security holdings or otherwise, is set forth in the Company’s Annual Report on Form 10-K/A for the fiscal year ended December 31, 2025, filed with the SEC on April 30, 2026. To the extent holdings of NFE common stock by the directors and executive officers of NFE have changed from the amounts disclosed in such filings,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Other information regarding the persons who may be deemed participants in the proxy solicitations in connection with the transaction, and a description of any interests that they have in the transaction, by security holdings or otherwise, will be contained in the proxy statement to be filed with the SEC regarding the transaction and the stockholder approvals when they become available. Stockholders, potential investors, and other interested persons should read the proxy statement carefully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701230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18859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15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This press release includes “forward-looking statements,” within the meaning of Section 27A of the Securities Act and Section 21E of the Exchange Act of 1934, as amended, including, in particular, any statements about our plans, strategies, objectives, initiatives, roadmap and prospects. We generally use the words “may,” “will,” “could,” “expect,” “anticipate,” “believe,” “estimate,” “plan,” “intend,” “aim” and similar expressions in this press release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transaction described above, including the Company’s ability to complete the transaction on the terms contemplated by the RSA, on the timeline contemplated or at all, and the Company’s ability to realize the intended benefits of the transaction. The Company’s actual results may differ materially from those anticipated in these forward-looking statements as a result of certain risks and other factors. Additional risks that could cause future results to differ from those expressed by any forward-looking statement are described in the Company’s reports filed with the SEC, including in the section entitled “Risk Factors” in Part I, Item 1A of the Company’s Annual Report on Form 10-K for the fiscal year ended December 31, 2025 and the section entitled “Risk Factors” in Part II, Item 1A of the Company’s Quarterly Report on Form 10-Q for the quarter ended March 31, 2026.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press release or to reflect the occurrence of unanticipated events or otherwise.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ir@newfortressenergy.com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press@newfortressenergy.com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01230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188595"/>
                    </a:xfrm>
                    <a:prstGeom prst="rect">
                      <a:avLst/>
                    </a:prstGeom>
                    <a:noFill/>
                  </pic:spPr>
                </pic:pic>
              </a:graphicData>
            </a:graphic>
          </wp:anchor>
        </w:drawing>
      </w:r>
    </w:p>
    <w:sectPr>
      <w:pgSz w:w="11900" w:h="16838" w:orient="portrait"/>
      <w:cols w:equalWidth="0" w:num="1">
        <w:col w:w="11240"/>
      </w:cols>
      <w:pgMar w:left="320" w:top="10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50"/>
    </w:lvl>
  </w:abstractNum>
  <w:abstractNum w:abstractNumId="3">
    <w:nsid w:val="625558EC"/>
    <w:multiLevelType w:val="hybridMultilevel"/>
    <w:lvl w:ilvl="0">
      <w:lvlJc w:val="left"/>
      <w:lvlText w:val="%1"/>
      <w:numFmt w:val="decimal"/>
      <w:start w:val="5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2026-05-18T08:27:04Z</dcterms:created>
  <dcterms:modified xsi:type="dcterms:W3CDTF">2026-05-18T08:27:04Z</dcterms:modified>
</cp:coreProperties>
</file>