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333-254469</w:t>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(To Prospectus dated March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1565275</wp:posOffset>
            </wp:positionH>
            <wp:positionV relativeFrom="paragraph">
              <wp:posOffset>168910</wp:posOffset>
            </wp:positionV>
            <wp:extent cx="2597150"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9715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7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6,900,000 Shares</w:t>
      </w:r>
    </w:p>
    <w:p>
      <w:pPr>
        <w:spacing w:after="0" w:line="8"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 </w:t>
      </w:r>
    </w:p>
    <w:p>
      <w:pPr>
        <w:ind w:left="3420"/>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205" w:lineRule="exact"/>
        <w:rPr>
          <w:sz w:val="24"/>
          <w:szCs w:val="24"/>
          <w:color w:val="auto"/>
        </w:rPr>
      </w:pPr>
    </w:p>
    <w:p>
      <w:pPr>
        <w:jc w:val="both"/>
        <w:ind w:left="400" w:right="419" w:firstLine="360"/>
        <w:spacing w:after="0" w:line="275" w:lineRule="auto"/>
        <w:rPr>
          <w:sz w:val="20"/>
          <w:szCs w:val="20"/>
          <w:color w:val="auto"/>
        </w:rPr>
      </w:pPr>
      <w:r>
        <w:rPr>
          <w:rFonts w:ascii="Times New Roman" w:cs="Times New Roman" w:eastAsia="Times New Roman" w:hAnsi="Times New Roman"/>
          <w:sz w:val="18"/>
          <w:szCs w:val="18"/>
          <w:color w:val="auto"/>
        </w:rPr>
        <w:t>The selling securityholder (the “Selling Securityholder”) identified in this prospectus supplement is offering 6,900,000 shares of the Class A common stock, $0.01 par value per share (the “Class A common stock”) of New Fortress Energy Inc. (“NFE,” the “Company,” “we” or “us”) by this prospectus supplement and the accompanying prospectus. We are not selling any shares in this offering and will not receive any proceeds from the sale of shares of our Class A common stock covered by this prospectus supplement. We will pay all expenses of the registration of the Class A common stock and certain other expenses.</w:t>
      </w:r>
    </w:p>
    <w:p>
      <w:pPr>
        <w:spacing w:after="0" w:line="137" w:lineRule="exact"/>
        <w:rPr>
          <w:sz w:val="24"/>
          <w:szCs w:val="24"/>
          <w:color w:val="auto"/>
        </w:rPr>
      </w:pPr>
    </w:p>
    <w:tbl>
      <w:tblPr>
        <w:tblLayout w:type="fixed"/>
        <w:tblInd w:w="40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50"/>
        </w:trPr>
        <w:tc>
          <w:tcPr>
            <w:tcW w:w="62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r>
      <w:tr>
        <w:trPr>
          <w:trHeight w:val="311"/>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Public offering price</w:t>
            </w:r>
          </w:p>
        </w:tc>
        <w:tc>
          <w:tcPr>
            <w:tcW w:w="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$46.00</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$317,400,000</w:t>
            </w:r>
          </w:p>
        </w:tc>
      </w:tr>
      <w:tr>
        <w:trPr>
          <w:trHeight w:val="324"/>
        </w:trPr>
        <w:tc>
          <w:tcPr>
            <w:tcW w:w="6200" w:type="dxa"/>
            <w:vAlign w:val="bottom"/>
          </w:tcPr>
          <w:p>
            <w:pPr>
              <w:spacing w:after="0" w:line="324" w:lineRule="exact"/>
              <w:rPr>
                <w:sz w:val="20"/>
                <w:szCs w:val="20"/>
                <w:color w:val="auto"/>
              </w:rPr>
            </w:pPr>
            <w:r>
              <w:rPr>
                <w:rFonts w:ascii="Times New Roman" w:cs="Times New Roman" w:eastAsia="Times New Roman" w:hAnsi="Times New Roman"/>
                <w:sz w:val="18"/>
                <w:szCs w:val="18"/>
                <w:b w:val="1"/>
                <w:bCs w:val="1"/>
                <w:color w:val="auto"/>
              </w:rPr>
              <w:t>Underwriting discounts and commissions</w:t>
            </w:r>
            <w:r>
              <w:rPr>
                <w:rFonts w:ascii="Times New Roman" w:cs="Times New Roman" w:eastAsia="Times New Roman" w:hAnsi="Times New Roman"/>
                <w:sz w:val="29"/>
                <w:szCs w:val="29"/>
                <w:b w:val="1"/>
                <w:bCs w:val="1"/>
                <w:color w:val="auto"/>
                <w:vertAlign w:val="superscript"/>
              </w:rPr>
              <w:t>(1)</w:t>
            </w: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$ 0.44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3,036,000</w:t>
            </w:r>
          </w:p>
        </w:tc>
      </w:tr>
      <w:tr>
        <w:trPr>
          <w:trHeight w:val="27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Proceeds, before expenses, to the Selling Securityholder</w:t>
            </w: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$45.56</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$314,364,000</w:t>
            </w:r>
          </w:p>
        </w:tc>
      </w:tr>
      <w:tr>
        <w:trPr>
          <w:trHeight w:val="54"/>
        </w:trPr>
        <w:tc>
          <w:tcPr>
            <w:tcW w:w="620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4719955</wp:posOffset>
            </wp:positionH>
            <wp:positionV relativeFrom="paragraph">
              <wp:posOffset>-633730</wp:posOffset>
            </wp:positionV>
            <wp:extent cx="102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-633730</wp:posOffset>
            </wp:positionV>
            <wp:extent cx="514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145415</wp:posOffset>
            </wp:positionV>
            <wp:extent cx="8229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2" w:lineRule="exact"/>
        <w:rPr>
          <w:sz w:val="24"/>
          <w:szCs w:val="24"/>
          <w:color w:val="auto"/>
        </w:rPr>
      </w:pPr>
    </w:p>
    <w:p>
      <w:pPr>
        <w:ind w:left="760" w:hanging="360"/>
        <w:spacing w:after="0"/>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Underwriting</w:t>
      </w:r>
      <w:r>
        <w:rPr>
          <w:rFonts w:ascii="Times New Roman" w:cs="Times New Roman" w:eastAsia="Times New Roman" w:hAnsi="Times New Roman"/>
          <w:sz w:val="14"/>
          <w:szCs w:val="14"/>
          <w:color w:val="auto"/>
        </w:rPr>
        <w:t>” for additional information regarding underwriting compensation.</w:t>
      </w:r>
    </w:p>
    <w:p>
      <w:pPr>
        <w:spacing w:after="0" w:line="210" w:lineRule="exact"/>
        <w:rPr>
          <w:sz w:val="24"/>
          <w:szCs w:val="24"/>
          <w:color w:val="auto"/>
        </w:rPr>
      </w:pPr>
    </w:p>
    <w:p>
      <w:pPr>
        <w:jc w:val="both"/>
        <w:ind w:left="400" w:right="419" w:firstLine="360"/>
        <w:spacing w:after="0" w:line="297" w:lineRule="auto"/>
        <w:rPr>
          <w:sz w:val="20"/>
          <w:szCs w:val="20"/>
          <w:color w:val="auto"/>
        </w:rPr>
      </w:pPr>
      <w:r>
        <w:rPr>
          <w:rFonts w:ascii="Times New Roman" w:cs="Times New Roman" w:eastAsia="Times New Roman" w:hAnsi="Times New Roman"/>
          <w:sz w:val="18"/>
          <w:szCs w:val="18"/>
          <w:color w:val="auto"/>
        </w:rPr>
        <w:t>Our Class A common stock is listed on the Nasdaq under the symbol “NFE.” The last reported sales price of our Class A common stock on the Nasdaq on December 13, 2022 was $48.29 per share.</w:t>
      </w:r>
    </w:p>
    <w:p>
      <w:pPr>
        <w:spacing w:after="0" w:line="159" w:lineRule="exact"/>
        <w:rPr>
          <w:sz w:val="24"/>
          <w:szCs w:val="24"/>
          <w:color w:val="auto"/>
        </w:rPr>
      </w:pPr>
    </w:p>
    <w:p>
      <w:pPr>
        <w:jc w:val="both"/>
        <w:ind w:left="400" w:right="419" w:firstLine="360"/>
        <w:spacing w:after="0" w:line="264" w:lineRule="auto"/>
        <w:rPr>
          <w:sz w:val="20"/>
          <w:szCs w:val="20"/>
          <w:color w:val="auto"/>
        </w:rPr>
      </w:pPr>
      <w:r>
        <w:rPr>
          <w:rFonts w:ascii="Times New Roman" w:cs="Times New Roman" w:eastAsia="Times New Roman" w:hAnsi="Times New Roman"/>
          <w:sz w:val="18"/>
          <w:szCs w:val="18"/>
          <w:b w:val="1"/>
          <w:bCs w:val="1"/>
          <w:color w:val="auto"/>
        </w:rPr>
        <w:t>Investing in shares of our Class A common stock involves a high degree of risk. Before buying any shares of our Class A common stock, you should carefully consider the risks that we have described in “Risk Factors” beginning on page S-</w:t>
      </w:r>
      <w:r>
        <w:rPr>
          <w:rFonts w:ascii="Times New Roman" w:cs="Times New Roman" w:eastAsia="Times New Roman" w:hAnsi="Times New Roman"/>
          <w:sz w:val="18"/>
          <w:szCs w:val="18"/>
          <w:b w:val="1"/>
          <w:bCs w:val="1"/>
          <w:u w:val="single" w:color="auto"/>
          <w:color w:val="0000EE"/>
        </w:rPr>
        <w:t>4</w:t>
      </w:r>
      <w:r>
        <w:rPr>
          <w:rFonts w:ascii="Times New Roman" w:cs="Times New Roman" w:eastAsia="Times New Roman" w:hAnsi="Times New Roman"/>
          <w:sz w:val="18"/>
          <w:szCs w:val="18"/>
          <w:b w:val="1"/>
          <w:bCs w:val="1"/>
          <w:color w:val="auto"/>
        </w:rPr>
        <w:t xml:space="preserve"> of this prospectus supplement, in the accompanying prospectus and in the documents incorporated or deemed incorporated by reference into this prospectus supplement and accompanying prospectus. 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94" w:lineRule="exact"/>
        <w:rPr>
          <w:sz w:val="24"/>
          <w:szCs w:val="24"/>
          <w:color w:val="auto"/>
        </w:rPr>
      </w:pPr>
    </w:p>
    <w:p>
      <w:pPr>
        <w:jc w:val="both"/>
        <w:ind w:left="400" w:right="419" w:firstLine="360"/>
        <w:spacing w:after="0" w:line="282" w:lineRule="auto"/>
        <w:rPr>
          <w:sz w:val="20"/>
          <w:szCs w:val="20"/>
          <w:color w:val="auto"/>
        </w:rPr>
      </w:pPr>
      <w:r>
        <w:rPr>
          <w:rFonts w:ascii="Times New Roman" w:cs="Times New Roman" w:eastAsia="Times New Roman" w:hAnsi="Times New Roman"/>
          <w:sz w:val="18"/>
          <w:szCs w:val="18"/>
          <w:color w:val="auto"/>
        </w:rPr>
        <w:t>The underwriter expects to deliver the shares of Class A common stock against payment on or about December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165735</wp:posOffset>
            </wp:positionV>
            <wp:extent cx="1097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J.P. Morgan</w:t>
      </w:r>
    </w:p>
    <w:p>
      <w:pPr>
        <w:sectPr>
          <w:pgSz w:w="11900" w:h="16838" w:orient="portrait"/>
          <w:cols w:equalWidth="0" w:num="1">
            <w:col w:w="9019"/>
          </w:cols>
          <w:pgMar w:left="1440" w:top="223" w:right="1440" w:bottom="93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date of this prospectus supplement is December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144780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3" w:right="1440" w:bottom="931"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0"/>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gridSpan w:val="6"/>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S-ii</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40" w:type="dxa"/>
            <w:vAlign w:val="bottom"/>
          </w:tcPr>
          <w:p>
            <w:pPr>
              <w:spacing w:after="0"/>
              <w:rPr>
                <w:sz w:val="19"/>
                <w:szCs w:val="19"/>
                <w:color w:val="auto"/>
              </w:rPr>
            </w:pPr>
          </w:p>
        </w:tc>
        <w:tc>
          <w:tcPr>
            <w:tcW w:w="32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0000EE"/>
                <w:w w:val="99"/>
              </w:rPr>
              <w:t>S-iv</w:t>
            </w: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9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PROSPECTUS SUPPLEMENT SUMMARY</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5"/>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S-1</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THE OFFERING</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EE"/>
              </w:rPr>
              <w:t>S-3</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5"/>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S-4</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EE"/>
              </w:rPr>
              <w:t>S-5</w:t>
            </w: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SELLING SECURITYHOLDER</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5"/>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S-6</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UNDERWRITING</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EE"/>
              </w:rPr>
              <w:t>S-7</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S-13</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EXPERTS</w:t>
            </w:r>
          </w:p>
        </w:tc>
        <w:tc>
          <w:tcPr>
            <w:tcW w:w="3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9"/>
              </w:rPr>
              <w:t>S-13</w:t>
            </w: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S-14</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540"/>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5"/>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0"/>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00" w:type="dxa"/>
            <w:vAlign w:val="bottom"/>
            <w:tcBorders>
              <w:right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EE"/>
              </w:rPr>
              <w:t>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300" w:type="dxa"/>
            <w:vAlign w:val="bottom"/>
            <w:tcBorders>
              <w:right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9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3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EE"/>
              </w:rPr>
              <w:t>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00" w:type="dxa"/>
            <w:vAlign w:val="bottom"/>
            <w:tcBorders>
              <w:right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3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EE"/>
              </w:rPr>
              <w:t>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SECURITIES</w:t>
            </w:r>
          </w:p>
        </w:tc>
        <w:tc>
          <w:tcPr>
            <w:tcW w:w="300" w:type="dxa"/>
            <w:vAlign w:val="bottom"/>
            <w:tcBorders>
              <w:right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8</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3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EE"/>
              </w:rPr>
              <w:t>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DEPOSITARY SHARES</w:t>
            </w:r>
          </w:p>
        </w:tc>
        <w:tc>
          <w:tcPr>
            <w:tcW w:w="340" w:type="dxa"/>
            <w:vAlign w:val="bottom"/>
            <w:gridSpan w:val="7"/>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17</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DESCRIPTION OF DEBT SECURITIES</w:t>
            </w:r>
          </w:p>
        </w:tc>
        <w:tc>
          <w:tcPr>
            <w:tcW w:w="3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EE"/>
                <w:w w:val="99"/>
              </w:rPr>
              <w:t>19</w:t>
            </w: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WARRANTS</w:t>
            </w:r>
          </w:p>
        </w:tc>
        <w:tc>
          <w:tcPr>
            <w:tcW w:w="340" w:type="dxa"/>
            <w:vAlign w:val="bottom"/>
            <w:gridSpan w:val="7"/>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21</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SELLING SECURITYHOLDERS</w:t>
            </w:r>
          </w:p>
        </w:tc>
        <w:tc>
          <w:tcPr>
            <w:tcW w:w="3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EE"/>
                <w:w w:val="99"/>
              </w:rPr>
              <w:t>22</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OUR OPERATING AGREEMENT AND PROVISIONS OF DELAWARE LAW</w:t>
            </w:r>
          </w:p>
        </w:tc>
        <w:tc>
          <w:tcPr>
            <w:tcW w:w="340" w:type="dxa"/>
            <w:vAlign w:val="bottom"/>
            <w:gridSpan w:val="7"/>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24</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9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7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EE"/>
                <w:w w:val="99"/>
              </w:rPr>
              <w:t>30</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 FEDERAL INCOME TAX CONSIDERATIONS FOR NON-U.S. HOLDERS OF CLASS A</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860" w:type="dxa"/>
            <w:vAlign w:val="bottom"/>
            <w:tcBorders>
              <w:top w:val="single" w:sz="8" w:color="0000EE"/>
            </w:tcBorders>
            <w:gridSpan w:val="2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COMMON STOCK</w:t>
            </w:r>
          </w:p>
        </w:tc>
        <w:tc>
          <w:tcPr>
            <w:tcW w:w="1020" w:type="dxa"/>
            <w:vAlign w:val="bottom"/>
            <w:tcBorders>
              <w:top w:val="single" w:sz="8" w:color="CCEEFF"/>
            </w:tcBorders>
            <w:gridSpan w:val="2"/>
            <w:shd w:val="clear" w:color="auto" w:fill="CCEEFF"/>
          </w:tcPr>
          <w:p>
            <w:pPr>
              <w:spacing w:after="0"/>
              <w:rPr>
                <w:sz w:val="17"/>
                <w:szCs w:val="17"/>
                <w:color w:val="auto"/>
              </w:rPr>
            </w:pPr>
          </w:p>
        </w:tc>
        <w:tc>
          <w:tcPr>
            <w:tcW w:w="340" w:type="dxa"/>
            <w:vAlign w:val="bottom"/>
            <w:tcBorders>
              <w:top w:val="single" w:sz="8" w:color="CCEEFF"/>
            </w:tcBorders>
            <w:gridSpan w:val="7"/>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32</w:t>
            </w:r>
          </w:p>
        </w:tc>
        <w:tc>
          <w:tcPr>
            <w:tcW w:w="20" w:type="dxa"/>
            <w:vAlign w:val="bottom"/>
            <w:tcBorders>
              <w:top w:val="single" w:sz="8" w:color="CCEEFF"/>
            </w:tcBorders>
            <w:shd w:val="clear" w:color="auto" w:fill="CCEEFF"/>
          </w:tcPr>
          <w:p>
            <w:pPr>
              <w:spacing w:after="0"/>
              <w:rPr>
                <w:sz w:val="17"/>
                <w:szCs w:val="17"/>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ERISA CONSIDERATIONS</w:t>
            </w:r>
          </w:p>
        </w:tc>
        <w:tc>
          <w:tcPr>
            <w:tcW w:w="3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EE"/>
                <w:w w:val="99"/>
              </w:rPr>
              <w:t>35</w:t>
            </w: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gridSpan w:val="7"/>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37</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EXPERTS</w:t>
            </w:r>
          </w:p>
        </w:tc>
        <w:tc>
          <w:tcPr>
            <w:tcW w:w="3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EE"/>
                <w:w w:val="99"/>
              </w:rPr>
              <w:t>37</w:t>
            </w:r>
          </w:p>
        </w:tc>
        <w:tc>
          <w:tcPr>
            <w:tcW w:w="20" w:type="dxa"/>
            <w:vAlign w:val="bottom"/>
          </w:tcPr>
          <w:p>
            <w:pPr>
              <w:spacing w:after="0"/>
              <w:rPr>
                <w:sz w:val="19"/>
                <w:szCs w:val="19"/>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-6685915</wp:posOffset>
            </wp:positionV>
            <wp:extent cx="93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-3805555</wp:posOffset>
            </wp:positionV>
            <wp:extent cx="111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that we filed on Form S-3 with the Securities and Exchange Commission (the “SEC”) as a “well-known seasoned issuer” as defined in Rule 405 of the Securities Act of 1933, as amended (the “Securities Act”), using a “shelf” registration process. Under the shelf registration process, the Selling Securityholder may offer and sell, from time to time, shares of our Class A common stock in one or more offerings. The accompanying prospectus provides you with general information, including a general description of our Class A common stock, some of which information may not apply to this offering. This prospectus supplement contains specific information about the terms of this offering of shares of Class A common stock by the Selling Securityholder.</w:t>
      </w:r>
    </w:p>
    <w:p>
      <w:pPr>
        <w:spacing w:after="0" w:line="84"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7"/>
          <w:szCs w:val="17"/>
          <w:color w:val="auto"/>
        </w:rPr>
        <w:t>This prospectus supplement, the accompanying prospectus and the documents incorporated by reference include important information about us, our Class A common stock and other information that you should know before investing. This prospectus supplement also adds, updates and changes information contained in the accompanying prospectus and in any documents incorporated by reference.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this prospectus supplement or the accompanying prospectus—the statement in the document having the later date modifies or supersedes the earlier statement as our business, financial condition, results of operations and prospects may have changed since the earlier date. You should carefully read both this prospectus supplement and the accompanying prospectus as well as additional information described under “Where You Can Find More Information” before investing in our Class A common stock. Further, this prospectus supplement and the accompanying prospectus do not contain all of the information included in the registration statement. The registration statement filed with the SEC includes or incorporates by reference exhibits that provide more details about the matters discussed in this prospectus supplement and the accompanying prospectus. You should not consider any information in this prospectus supplement or the accompanying base prospectus to be investment, legal or tax advice. You should consult your own counsel, accountant and other advisors for investments, legal, tax, business, financial and related advice regarding the purchase of shares of our Class A common stock. We are not making any representation to you regarding the legality of an investment in shares of our Class A common stock by you under applicable investment or similar laws.</w:t>
      </w:r>
    </w:p>
    <w:p>
      <w:pPr>
        <w:spacing w:after="0" w:line="293"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None of us, the Selling Securityholder, or the underwriter has authorized any dealer, salesperson or other person to give any information or to make any representation other than those contained in or incorporated by reference into this prospectus supplement, the accompanying prospectus or any applicable free writing prospectus. You must not rely upon any information or representation not contained in or incorporated by reference into this prospectus supplement, the accompanying prospectus or any applicable free writing prospectus as if we had authorized it. This prospectus supplement, the accompanying prospectus and any applicable free writing prospectus do not constitute an offer to sell or the solicitation of an offer to buy any securities other than the registered securities to which they relate, nor does this prospectus supplement, the accompanying prospectus or any applicable free writing prospectus constitute an offer to sell or the solicitation of an offer to buy securities in any jurisdiction to any person to whom it is unlawful to make such offer or solicitation in such jurisdiction. You should not assume that the information contained in this prospectus supplement, the accompanying prospectus, the documents incorporated herein and therein by reference and any applicable free writing prospectus is correct on any date after their respective dates, even though this prospectus supplement, the accompanying prospectus or an applicable free writing prospectus is delivered or securities are sold on a later date. Our business, financial condition, results of operations and cash flows may have changed since those dates.</w:t>
      </w:r>
    </w:p>
    <w:p>
      <w:pPr>
        <w:spacing w:after="0" w:line="9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Generally, when we refer to this “prospectus supplement,” we are referring to both this prospectus supplement and the accompanying prospectus, as well as the documents incorporated by reference herein and therein.</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New Fortress Energy Inc. (“NFE Inc.”) was formerly New Fortress Energy LLC, a Delaware limited liability company (“NFE LLC”), prior to its conversion to a Delaware corporation (the “Conversion”) effective at 12:01 a.m. (Eastern Time) on August 7, 2020 (the “Conversion Effective Time”), as described in more detail in the documents incorporated by reference herein. In this prospectus supplement and the accompanying prospectus or any documents incorporated by reference herein or therein, unless otherwise indicated or the context otherwise requires, references to “NFE,” the “Company,” “we,” “us,” “our” and similar terms refer to (i) prior to the Conversion Effective Time, NFE LLC and its subsidiaries and (ii) following the Conversion Effective Time, NFE Inc. and its subsidiaries. 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addition, when used in a historical context that is prior to the completion of our Initial Public Offering on February 4, 2019, references to “Company,” “we,” “our,” “us” or like terms refer to New Fortress Energy Holdings LLC, a Delaware limited liability company (“New Fortress Energy Holdings”), our predecessor for financial reporting purposes.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documents incorporated by reference contain statements that are “forward-looking” within the meaning of the Private Securities Litigation Reform Act of 1995.</w:t>
      </w:r>
    </w:p>
    <w:p>
      <w:pPr>
        <w:spacing w:after="0" w:line="68"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All statements contained in this prospectus supplement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Forward-looking statements are subject to risks and uncertainties, including but not limited to the risks described in this prospectus supplement, the accompanying prospectus and any documents incorporated by reference, including the “Risk Factors” sections of this prospectus supplement, the accompanying prospectus and our reports and other documents filed with the SEC. When considering forward-looking statements, you should keep in mind the risks, uncertainties and other cautionary statements made in this prospectus supplement, the accompanying prospectus and the documents incorporated by reference. While it is impossible to identify all factors, factors that could cause actual results to differ materially from those estimated by us include:</w:t>
      </w:r>
    </w:p>
    <w:p>
      <w:pPr>
        <w:spacing w:after="0" w:line="89" w:lineRule="exact"/>
        <w:rPr>
          <w:sz w:val="20"/>
          <w:szCs w:val="20"/>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subsidiaries, affiliates, joint ventures and special purpose entities in which we invest and their ability to make dividends or distributions to us;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and operational risks related to our facilities and assets, including cost overruns and delays;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to obtain and maintain approvals and permits from governmental and regulatory agencies;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sufficient working capital for the development and operation of our business and assets;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 return on our investments for the development of our projects and assets and the implementation of our business strategy;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convert our customer pipeline into actual sales;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asset, geographic or customer diversification, including loss of one or more of our customers;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third parties in our business;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liquified natural gas (“LNG”) or natural gas to be a competitive source of energy in the markets in which we operate, and seek to operate;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or other changes in the demand for and price of LNG and natural gas;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procure LNG at necessary quantities or at favorable prices to meet customer demand, or otherwise to manage LNG supply and price risks, including hedging arrangements;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develop and implement our technological solutions;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service our debt and comply with our covenant restrictions;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additional financing to effect our strategy;</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complete mergers, sales, divestments or similar transactions related to our businesses or assets or to integrate such businesses or assets and realize the anticipated benefits, including with respect to the mergers with Hygo Energy Transition Ltd. (“Hygo”) and Golar LNG Partners LP (“GMLP”);</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social and other risks related to the jurisdictions in which we do, or seek to do,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events or other natural or manmade disasters or phenomena;</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global COVID-19 pandemic or any other major health and safety incident;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disputes or strikes, and the unavailability of skilled workers or our failure to attract and retain qualified personnel;</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treatment of, or changes in tax laws applicable to, us or our business or of an investment in our Class A common stock;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identified, discussed or incorporated by reference in this prospectus supplement and the accompanying prospectus, including under the section entitled “Risk Factors,” and described in our other reports filed with the SEC.</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All forward-looking statements speak only as of the date of this prospectus supplement or, in the case of the accompanying prospectus or documents incorporated by reference, the date of any such document. You are cautioned not to place undue reliance on any forward-looking statements made by us or on our behalf.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except as may be required by law. Furthermore, we cannot guarantee future results, events, levels of activity, performance, projections or achievements.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90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3405" cy="819086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19"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supplement, the accompanying prospectus and the documents incorporated by reference. This summary does not contain all of the information you should consider before making a decision to invest in our Class A common stock. You should read this entire prospectus supplement and the accompanying prospectus, including the documents incorporated by reference herein and therein, carefully before making an investment decision, especially the sections entitled “Risk Factors” herein and therein and our consolidated financial statements and notes to those consolidated financial statements incorporated by reference herein and therein.</w:t>
      </w:r>
    </w:p>
    <w:p>
      <w:pPr>
        <w:spacing w:after="0" w:line="2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New Fortress Energy Inc. is a global energy infrastructure company founded to help address energy poverty and accelerate the world’s transition to reliable, affordable, and clean energy. The Company owns and operates natural gas and LNG infrastructure and an integrated fleet of ships and logistics assets to rapidly deliver turnkey energy solutions to global markets. Collectively, the Company’s assets and operations reinforce global energy security, enable economic growth, enhance environmental stewardship and transform local industries and communities around the world.</w:t>
      </w:r>
    </w:p>
    <w:p>
      <w:pPr>
        <w:spacing w:after="0" w:line="2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21" w:lineRule="exact"/>
        <w:rPr>
          <w:sz w:val="20"/>
          <w:szCs w:val="20"/>
          <w:color w:val="auto"/>
        </w:rPr>
      </w:pPr>
    </w:p>
    <w:p>
      <w:pPr>
        <w:jc w:val="both"/>
        <w:ind w:left="320" w:right="279" w:firstLine="360"/>
        <w:spacing w:after="0" w:line="254" w:lineRule="auto"/>
        <w:rPr>
          <w:sz w:val="20"/>
          <w:szCs w:val="20"/>
          <w:color w:val="auto"/>
        </w:rPr>
      </w:pPr>
      <w:r>
        <w:rPr>
          <w:rFonts w:ascii="Times New Roman" w:cs="Times New Roman" w:eastAsia="Times New Roman" w:hAnsi="Times New Roman"/>
          <w:sz w:val="18"/>
          <w:szCs w:val="18"/>
          <w:color w:val="auto"/>
        </w:rPr>
        <w:t>As an integrated gas-to-power energy infrastructure company, our business model spans the entire production and delivery chain from natural gas procurement and liquefaction to shipping, logistics, facilities and conversion or development of natural gas-fired power generation. Historically, natural gas procurement or liquefaction, transportation, regasification and power generation projects have been developed separately and have required multilateral or traditional financing sources, which has inhibited the development of natural gas-fired power in many developing countries. In executing our business model, we have the capability to build or arrange any necessary infrastructure ourselves without reliance on multilateral financing sources or traditional project finance structures, so that we maintain our strategic flexibility and optimize our portfolio.</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conduct our operations at the following facilities:</w:t>
      </w:r>
    </w:p>
    <w:p>
      <w:pPr>
        <w:spacing w:after="0" w:line="117" w:lineRule="exact"/>
        <w:rPr>
          <w:sz w:val="20"/>
          <w:szCs w:val="20"/>
          <w:color w:val="auto"/>
        </w:rPr>
      </w:pPr>
    </w:p>
    <w:p>
      <w:pPr>
        <w:ind w:left="1020" w:right="29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LNG storage and regasification facility at the Port of Montego Bay, Jamaica (the “Montego Bay Facility”),</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marine LNG storage and regasification facility in Old Harbour, Jamaica (together with the Montego Bay Facility, the “Jamaica Facilities”),</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landed micro-fuel handling facility in San Juan, Puerto Rico,</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marine LNG storage and regasification facility in Sergipe, Brazil (the “Sergipe Facility”),</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LNG receiving facility in La Paz, Mexico, and</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Miami facility.</w:t>
      </w:r>
    </w:p>
    <w:p>
      <w:pPr>
        <w:spacing w:after="0" w:line="117" w:lineRule="exact"/>
        <w:rPr>
          <w:sz w:val="20"/>
          <w:szCs w:val="20"/>
          <w:color w:val="auto"/>
        </w:rPr>
      </w:pPr>
    </w:p>
    <w:p>
      <w:pPr>
        <w:jc w:val="both"/>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In addition, we are currently developing facilities in Brazil, Nicaragua, Ireland and other locations. We are in active discussions with additional customers to develop projects in multiple regions around the world who may have significant demand for additional power, LNG and natural gas, although there can be no assurance that these discussions will result in additional contracts or that we will be able to achieve our target pricing or margins.</w:t>
      </w:r>
    </w:p>
    <w:p>
      <w:pPr>
        <w:spacing w:after="0" w:line="2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jc w:val="both"/>
        <w:ind w:left="320" w:right="299" w:firstLine="360"/>
        <w:spacing w:after="0" w:line="266" w:lineRule="auto"/>
        <w:rPr>
          <w:sz w:val="20"/>
          <w:szCs w:val="20"/>
          <w:color w:val="auto"/>
        </w:rPr>
      </w:pPr>
      <w:r>
        <w:rPr>
          <w:rFonts w:ascii="Times New Roman" w:cs="Times New Roman" w:eastAsia="Times New Roman" w:hAnsi="Times New Roman"/>
          <w:sz w:val="18"/>
          <w:szCs w:val="18"/>
          <w:color w:val="auto"/>
        </w:rPr>
        <w:t>NFE LLC was formed as a Delaware limited liability company by New Fortress Energy Holdings on August 6, 2018. On August 7, 2020, effective as of the Conversion Effective Time, NFE LLC was converted from a Delaware limited liability company to NFE Inc., a Delaware corporation.</w:t>
      </w:r>
    </w:p>
    <w:p>
      <w:pPr>
        <w:spacing w:after="0" w:line="68"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Our principal executive office is located at 111 W. 19th Street, 8th Floor, New York, NY 10011 and our telephone number is (516) 268-7400. We maintain a website at www.newfortressenergy.com. We have included our website address in this prospectus supplement solely as an inactive textual reference. The information on or otherwise accessible through our website does not constitute a part of, and is not incorporated by reference into, this prospectus supplement or the accompanying prospectus.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3056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3405" cy="3056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On December 12, 2022, we announced that our Board of Directors (the “Board”) approved an update to our dividend policy following a comprehensive evaluation. This update is part of our plan to return significant capital to stockholders while continuing to fund substantial growth.</w:t>
      </w:r>
    </w:p>
    <w:p>
      <w:pPr>
        <w:spacing w:after="0" w:line="68"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The dividend policy was updated with a goal to provide a clear go-forward framework to our shareholders and has immediate effect. As part of our new dividend policy, we are targeting an annual cash dividend equal to approximately 40% of our annual Adjusted EBITDA. In connection with adopting this dividend policy, the Board also declared a dividend of $3.00 per share, with a record date of January 4, 2023 and a payment date of January 13, 2023. Purchasers in this offering who continue to hold their shares as of such record date for the dividend will receive the dividend on the payment date. The Board will evaluate whether to declare a dividend every six months.</w:t>
      </w:r>
    </w:p>
    <w:p>
      <w:pPr>
        <w:spacing w:after="0" w:line="295" w:lineRule="exact"/>
        <w:rPr>
          <w:sz w:val="20"/>
          <w:szCs w:val="20"/>
          <w:color w:val="auto"/>
        </w:rPr>
      </w:pPr>
    </w:p>
    <w:p>
      <w:pPr>
        <w:jc w:val="both"/>
        <w:ind w:left="320" w:right="279" w:firstLine="360"/>
        <w:spacing w:after="0" w:line="255" w:lineRule="auto"/>
        <w:rPr>
          <w:sz w:val="20"/>
          <w:szCs w:val="20"/>
          <w:color w:val="auto"/>
        </w:rPr>
      </w:pPr>
      <w:r>
        <w:rPr>
          <w:rFonts w:ascii="Times New Roman" w:cs="Times New Roman" w:eastAsia="Times New Roman" w:hAnsi="Times New Roman"/>
          <w:sz w:val="18"/>
          <w:szCs w:val="18"/>
          <w:color w:val="auto"/>
        </w:rPr>
        <w:t>The payment of future dividends under the Company’s updated dividend policy will be made at the discretion of the Board and will be subject to the Board’s final determination based on a number of factors, including, but not limited to, the Company’s financial performance, its available cash resources, the terms of its indebtedness, its cash requirements, credit rating impacts, alternative uses of cash that the Board may conclude would represent an opportunity to generate a greater return on investment for the Company, restrictions and other factors the Board deems relevant at the time it determines to declare such dividends, and applicable law. The dividend policy may be revised, suspended, or cancelled at the discretion of the Board at any time.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5001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3405" cy="500189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9019"/>
          </w:cols>
          <w:pgMar w:left="1440" w:top="263" w:right="1440" w:bottom="1440" w:gutter="0" w:footer="0" w:header="0"/>
        </w:sectPr>
      </w:pPr>
    </w:p>
    <w:p>
      <w:pPr>
        <w:spacing w:after="0" w:line="129" w:lineRule="exact"/>
        <w:rPr>
          <w:sz w:val="20"/>
          <w:szCs w:val="20"/>
          <w:color w:val="auto"/>
        </w:rPr>
      </w:pPr>
    </w:p>
    <w:p>
      <w:pPr>
        <w:ind w:left="480" w:right="56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Class A common stock offered by the Selling Securityholder</w:t>
      </w:r>
    </w:p>
    <w:p>
      <w:pPr>
        <w:spacing w:after="0" w:line="74" w:lineRule="exact"/>
        <w:rPr>
          <w:sz w:val="20"/>
          <w:szCs w:val="20"/>
          <w:color w:val="auto"/>
        </w:rPr>
      </w:pPr>
    </w:p>
    <w:p>
      <w:pPr>
        <w:ind w:left="48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Class A common stock outstanding before and after this offering</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6,900,000 shares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208,770,088 shares</w:t>
      </w:r>
    </w:p>
    <w:p>
      <w:pPr>
        <w:spacing w:after="0" w:line="158" w:lineRule="exact"/>
        <w:rPr>
          <w:sz w:val="20"/>
          <w:szCs w:val="20"/>
          <w:color w:val="auto"/>
        </w:rPr>
      </w:pPr>
    </w:p>
    <w:p>
      <w:pPr>
        <w:jc w:val="both"/>
        <w:ind w:right="279"/>
        <w:spacing w:after="0" w:line="255" w:lineRule="auto"/>
        <w:rPr>
          <w:sz w:val="20"/>
          <w:szCs w:val="20"/>
          <w:color w:val="auto"/>
        </w:rPr>
      </w:pPr>
      <w:r>
        <w:rPr>
          <w:rFonts w:ascii="Times New Roman" w:cs="Times New Roman" w:eastAsia="Times New Roman" w:hAnsi="Times New Roman"/>
          <w:sz w:val="18"/>
          <w:szCs w:val="18"/>
          <w:color w:val="auto"/>
        </w:rPr>
        <w:t>The Selling Securityholder will receive all of the net proceeds from this offering and bear all commissions and discounts, if any, from the sale of the Class A common stock pursuant to this prospectus supplement. We will not receive any proceeds from the sale of shares in this offering.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beginning on page S-</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 xml:space="preserve"> of this prospectus supplement.</w:t>
      </w:r>
    </w:p>
    <w:p>
      <w:pPr>
        <w:spacing w:after="0" w:line="104" w:lineRule="exact"/>
        <w:rPr>
          <w:sz w:val="20"/>
          <w:szCs w:val="20"/>
          <w:color w:val="auto"/>
        </w:rPr>
      </w:pPr>
    </w:p>
    <w:p>
      <w:pPr>
        <w:sectPr>
          <w:pgSz w:w="11900" w:h="16838" w:orient="portrait"/>
          <w:cols w:equalWidth="0" w:num="2">
            <w:col w:w="4280" w:space="360"/>
            <w:col w:w="4379"/>
          </w:cols>
          <w:pgMar w:left="1440" w:top="263" w:right="1440" w:bottom="1440" w:gutter="0" w:footer="0" w:header="0"/>
          <w:type w:val="continuous"/>
        </w:sectPr>
      </w:pPr>
    </w:p>
    <w:tbl>
      <w:tblPr>
        <w:tblLayout w:type="fixed"/>
        <w:tblInd w:w="320" w:type="dxa"/>
        <w:tblCellMar>
          <w:top w:w="0" w:type="dxa"/>
          <w:left w:w="0" w:type="dxa"/>
          <w:bottom w:w="0" w:type="dxa"/>
          <w:right w:w="0" w:type="dxa"/>
        </w:tblCellMar>
      </w:tblPr>
      <w:tr>
        <w:trPr>
          <w:trHeight w:val="220"/>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Securityholder</w:t>
            </w: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sole selling securityholder is Energy Transition</w:t>
            </w:r>
          </w:p>
        </w:tc>
      </w:tr>
      <w:tr>
        <w:trPr>
          <w:trHeight w:val="216"/>
        </w:trPr>
        <w:tc>
          <w:tcPr>
            <w:tcW w:w="430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Holdings LLC. After the completion of this offering, the</w:t>
            </w:r>
          </w:p>
        </w:tc>
      </w:tr>
      <w:tr>
        <w:trPr>
          <w:trHeight w:val="216"/>
        </w:trPr>
        <w:tc>
          <w:tcPr>
            <w:tcW w:w="430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Securityholder   will   beneficially   own</w:t>
            </w:r>
          </w:p>
        </w:tc>
      </w:tr>
      <w:tr>
        <w:trPr>
          <w:trHeight w:val="216"/>
        </w:trPr>
        <w:tc>
          <w:tcPr>
            <w:tcW w:w="430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approximately  12.2%  of  our  outstanding  Class  A</w:t>
            </w:r>
          </w:p>
        </w:tc>
      </w:tr>
      <w:tr>
        <w:trPr>
          <w:trHeight w:val="234"/>
        </w:trPr>
        <w:tc>
          <w:tcPr>
            <w:tcW w:w="4300" w:type="dxa"/>
            <w:vAlign w:val="bottom"/>
          </w:tcPr>
          <w:p>
            <w:pPr>
              <w:spacing w:after="0"/>
              <w:rPr>
                <w:sz w:val="20"/>
                <w:szCs w:val="20"/>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w:t>
            </w:r>
          </w:p>
        </w:tc>
      </w:tr>
      <w:tr>
        <w:trPr>
          <w:trHeight w:val="344"/>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Investing in our Class A common stock involves a high</w:t>
            </w:r>
          </w:p>
        </w:tc>
      </w:tr>
      <w:tr>
        <w:trPr>
          <w:trHeight w:val="218"/>
        </w:trPr>
        <w:tc>
          <w:tcPr>
            <w:tcW w:w="430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degree of risk.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S-</w:t>
            </w:r>
          </w:p>
        </w:tc>
      </w:tr>
      <w:tr>
        <w:trPr>
          <w:trHeight w:val="194"/>
        </w:trPr>
        <w:tc>
          <w:tcPr>
            <w:tcW w:w="4300" w:type="dxa"/>
            <w:vAlign w:val="bottom"/>
          </w:tcPr>
          <w:p>
            <w:pPr>
              <w:spacing w:after="0"/>
              <w:rPr>
                <w:sz w:val="16"/>
                <w:szCs w:val="16"/>
                <w:color w:val="auto"/>
              </w:rPr>
            </w:pPr>
          </w:p>
        </w:tc>
        <w:tc>
          <w:tcPr>
            <w:tcW w:w="4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EE"/>
              </w:rPr>
              <w:t xml:space="preserve">4  </w:t>
            </w:r>
            <w:r>
              <w:rPr>
                <w:rFonts w:ascii="Times New Roman" w:cs="Times New Roman" w:eastAsia="Times New Roman" w:hAnsi="Times New Roman"/>
                <w:sz w:val="18"/>
                <w:szCs w:val="18"/>
                <w:color w:val="000000"/>
              </w:rPr>
              <w:t>of  this  prospectus  supplement  and  the  other</w:t>
            </w:r>
          </w:p>
        </w:tc>
      </w:tr>
      <w:tr>
        <w:trPr>
          <w:trHeight w:val="20"/>
        </w:trPr>
        <w:tc>
          <w:tcPr>
            <w:tcW w:w="43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18"/>
        </w:trPr>
        <w:tc>
          <w:tcPr>
            <w:tcW w:w="430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information contained or incorporated by reference in</w:t>
            </w:r>
          </w:p>
        </w:tc>
      </w:tr>
      <w:tr>
        <w:trPr>
          <w:trHeight w:val="216"/>
        </w:trPr>
        <w:tc>
          <w:tcPr>
            <w:tcW w:w="430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this  prospectus  supplement  and  the  accompanying</w:t>
            </w:r>
          </w:p>
        </w:tc>
      </w:tr>
      <w:tr>
        <w:trPr>
          <w:trHeight w:val="216"/>
        </w:trPr>
        <w:tc>
          <w:tcPr>
            <w:tcW w:w="430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prospectus  for  a  discussion  of  factors  you  should</w:t>
            </w:r>
          </w:p>
        </w:tc>
      </w:tr>
      <w:tr>
        <w:trPr>
          <w:trHeight w:val="216"/>
        </w:trPr>
        <w:tc>
          <w:tcPr>
            <w:tcW w:w="430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carefully consider before deciding to invest in our</w:t>
            </w:r>
          </w:p>
        </w:tc>
      </w:tr>
      <w:tr>
        <w:trPr>
          <w:trHeight w:val="234"/>
        </w:trPr>
        <w:tc>
          <w:tcPr>
            <w:tcW w:w="4300" w:type="dxa"/>
            <w:vAlign w:val="bottom"/>
          </w:tcPr>
          <w:p>
            <w:pPr>
              <w:spacing w:after="0"/>
              <w:rPr>
                <w:sz w:val="20"/>
                <w:szCs w:val="20"/>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r>
      <w:tr>
        <w:trPr>
          <w:trHeight w:val="392"/>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Global Select Market symbol</w:t>
            </w: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“NFE”</w:t>
            </w:r>
          </w:p>
        </w:tc>
      </w:tr>
    </w:tbl>
    <w:p>
      <w:pPr>
        <w:spacing w:after="0" w:line="90"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The number of shares of Class A common stock outstanding before and after this offering is based on 208,770,088 shares of our Class A common stock outstanding as of December 13, 2022, which excludes 686,496 unvested performance share units.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Before you invest in our Class A common stock, in addition to the other information in this prospectus supplement, the accompanying prospectus, the documents incorporated by reference herein or therein or other offering materials, you should carefully consider the risk factors in any prospectus supplement as well as under the heading “Risk Factors” contained in Part I, Item 1A. in our Annual Report on Form 10-K for the year ended December 31, 2021 and in our Quarterly Reports on Form 10-Q for the three, six and nine months ended March 31, 2022, June 30, 2022 and September 30, 2022, respectively, which are incorporated by reference into this prospectus supplement and the accompanying prospectus, as the same may be amended, supplemented or superseded from time to time by our filings under Sections 13(a), 13(c), 14 and 15(d) of the Securities Exchange Act of 1934, as amended (the “Exchange Act”). These risks could materially and adversely affect our business, operating results, cash flows and financial condition and could result in a partial or complete loss of your investment. See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Selling Securityholder will receive all of the net proceeds from the sale of the shares of Class A common stock offered hereby. We will not receive any proceeds from this offering.</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Selling Securityholder is a party to our Shareholders’ Agreement dated as of February 4, 2019, by and among the Company and the respective parties thereto (the “Shareholders’ Agreement”). Pursuant to the Shareholders’ Agreement, we will bear all out-of-pocket costs, fees and expenses in connection with the Selling Securityholder’s resale of the shares of Class A common stock to be sold pursuant to this prospectus supplement, except for any underwriting discounts and commissions and transfer taxes, if any. The Selling Securityholder will pay any applicable underwriting discounts and commissions and transfer taxes.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This prospectus supplement relates to the resale of 6,900,000 shares of our Class A common stock by the Selling Securityholder. The following table sets forth information with respect to the current beneficial ownership of the Selling Securityholder, the number of shares of Class A common stock being offered hereby by the Selling Securityholder and information with respect to shares to be beneficially owned by the Selling Securityholder after completion of this offering.</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number of shares and percentages of beneficial ownership set forth below are based on beneficial ownership as provided by the Selling Securityholder to the Company and are based on the number of shares of our Class A common stock issued and outstanding as of December 13, 2022.</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Selling Securityholder is party to the Shareholders’ Agreement with us pursuant to which it and its permitted transferees have the right, in certain circumstances, to require us to register their shares of our Class A common stock under the Securities Act for sale into the public markets.</w:t>
      </w:r>
    </w:p>
    <w:p>
      <w:pPr>
        <w:spacing w:after="0" w:line="68" w:lineRule="exact"/>
        <w:rPr>
          <w:sz w:val="20"/>
          <w:szCs w:val="20"/>
          <w:color w:val="auto"/>
        </w:rPr>
      </w:pPr>
    </w:p>
    <w:p>
      <w:pPr>
        <w:jc w:val="both"/>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under the rules of the SEC, and such information is not necessarily indicative of beneficial ownership for any other purpose. Under such rules, beneficial ownership includes any shares as to which a person has sole or shared voting power or investment power and any shares which the person has the right to acquire within 60 days through the exercise of any option, warrant or right, through conversion of any security or pursuant to the automatic termination of a power of attorney or revocation of a trust, discretionary account or similar arrangement. Percentages are calculated in accordance with applicable SEC rules and are based on the number of shares issued and outstanding on December 13, 2022.</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Offered by this</w:t>
            </w:r>
          </w:p>
        </w:tc>
        <w:tc>
          <w:tcPr>
            <w:tcW w:w="200" w:type="dxa"/>
            <w:vAlign w:val="bottom"/>
          </w:tcPr>
          <w:p>
            <w:pPr>
              <w:spacing w:after="0"/>
              <w:rPr>
                <w:sz w:val="12"/>
                <w:szCs w:val="12"/>
                <w:color w:val="auto"/>
              </w:rPr>
            </w:pPr>
          </w:p>
        </w:tc>
        <w:tc>
          <w:tcPr>
            <w:tcW w:w="1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4"/>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Prospectus</w:t>
            </w:r>
          </w:p>
        </w:tc>
        <w:tc>
          <w:tcPr>
            <w:tcW w:w="20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Before Offering</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Supplement</w:t>
            </w:r>
          </w:p>
        </w:tc>
        <w:tc>
          <w:tcPr>
            <w:tcW w:w="200" w:type="dxa"/>
            <w:vAlign w:val="bottom"/>
          </w:tcPr>
          <w:p>
            <w:pPr>
              <w:spacing w:after="0"/>
              <w:rPr>
                <w:sz w:val="16"/>
                <w:szCs w:val="16"/>
                <w:color w:val="auto"/>
              </w:rPr>
            </w:pPr>
          </w:p>
        </w:tc>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0" w:type="dxa"/>
            <w:vAlign w:val="bottom"/>
          </w:tcPr>
          <w:p>
            <w:pPr>
              <w:spacing w:after="0"/>
              <w:rPr>
                <w:sz w:val="1"/>
                <w:szCs w:val="1"/>
                <w:color w:val="auto"/>
              </w:rPr>
            </w:pPr>
          </w:p>
        </w:tc>
      </w:tr>
      <w:tr>
        <w:trPr>
          <w:trHeight w:val="50"/>
        </w:trPr>
        <w:tc>
          <w:tcPr>
            <w:tcW w:w="3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of Class A</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0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 Class A</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60" w:type="dxa"/>
            <w:vAlign w:val="bottom"/>
            <w:gridSpan w:val="2"/>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20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Securityholder</w:t>
            </w:r>
          </w:p>
        </w:tc>
        <w:tc>
          <w:tcPr>
            <w:tcW w:w="260" w:type="dxa"/>
            <w:vAlign w:val="bottom"/>
          </w:tcPr>
          <w:p>
            <w:pPr>
              <w:spacing w:after="0"/>
              <w:rPr>
                <w:sz w:val="12"/>
                <w:szCs w:val="12"/>
                <w:color w:val="auto"/>
              </w:rPr>
            </w:pPr>
          </w:p>
        </w:tc>
        <w:tc>
          <w:tcPr>
            <w:tcW w:w="10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10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243"/>
        </w:trPr>
        <w:tc>
          <w:tcPr>
            <w:tcW w:w="30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Stock</w:t>
            </w:r>
            <w:r>
              <w:rPr>
                <w:rFonts w:ascii="Times New Roman" w:cs="Times New Roman" w:eastAsia="Times New Roman" w:hAnsi="Times New Roman"/>
                <w:sz w:val="23"/>
                <w:szCs w:val="23"/>
                <w:b w:val="1"/>
                <w:bCs w:val="1"/>
                <w:color w:val="auto"/>
                <w:w w:val="93"/>
                <w:vertAlign w:val="superscript"/>
              </w:rPr>
              <w:t>(1)</w:t>
            </w:r>
          </w:p>
        </w:tc>
        <w:tc>
          <w:tcPr>
            <w:tcW w:w="2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Stock</w:t>
            </w:r>
            <w:r>
              <w:rPr>
                <w:rFonts w:ascii="Times New Roman" w:cs="Times New Roman" w:eastAsia="Times New Roman" w:hAnsi="Times New Roman"/>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331"/>
        </w:trPr>
        <w:tc>
          <w:tcPr>
            <w:tcW w:w="3020" w:type="dxa"/>
            <w:vAlign w:val="bottom"/>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Energy Transition Holdings LLC</w:t>
            </w:r>
            <w:r>
              <w:rPr>
                <w:rFonts w:ascii="Times New Roman" w:cs="Times New Roman" w:eastAsia="Times New Roman" w:hAnsi="Times New Roman"/>
                <w:sz w:val="29"/>
                <w:szCs w:val="29"/>
                <w:color w:val="auto"/>
                <w:vertAlign w:val="superscript"/>
              </w:rPr>
              <w:t>(2)</w:t>
            </w:r>
          </w:p>
        </w:tc>
        <w:tc>
          <w:tcPr>
            <w:tcW w:w="108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32,459,846</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6,900,000</w:t>
            </w:r>
          </w:p>
        </w:tc>
        <w:tc>
          <w:tcPr>
            <w:tcW w:w="10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25,559,846</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-222250</wp:posOffset>
            </wp:positionV>
            <wp:extent cx="137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-222250</wp:posOffset>
            </wp:positionV>
            <wp:extent cx="137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-222250</wp:posOffset>
            </wp:positionV>
            <wp:extent cx="1460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-222250</wp:posOffset>
            </wp:positionV>
            <wp:extent cx="1543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-222250</wp:posOffset>
            </wp:positionV>
            <wp:extent cx="1543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208,770,088 shares of Class A common stock issued and outstanding as of December 13, 2022.</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9" w:lineRule="auto"/>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Energy Transition Holdings LLC is managed by Great Mountain Partners LLC. Jonathan Rotolo and Alexander Thomson are the managers of Great Mountain Partners LLC and, in that capacity, have voting and dispositive power over the shares of Class A common stock held by Energy Transition Holdings LLC. Each of Great Mountain Partners LLC, Mr. Rotolo and Mr. Thomson has disclaimed beneficial ownership of the shares, except to the extent of their pecuniary interest therein. The principal business address of the entities identified herein is 157 Church Street,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Floor, New Haven, CT 06510.</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set forth in an underwriting agreement (the “Underwriting Agreement”) dated the date of this prospectus supplement among us, the Selling Securityholder and J.P. Morgan Securities LLC, the Selling Securityholder has agreed to sell to J.P. Morgan Securities LLC, and J.P. Morgan Securities LLC has agreed to purchase from the Selling Securityholder, all of the 6,900,000 shares of Class A common stock offered hereby. We will not receive any of the proceeds from the sale of shares of our Class A common stock covered by this prospectus supplement.</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Times New Roman" w:cs="Times New Roman" w:eastAsia="Times New Roman" w:hAnsi="Times New Roman"/>
          <w:sz w:val="17"/>
          <w:szCs w:val="17"/>
          <w:color w:val="auto"/>
        </w:rPr>
        <w:t>J.P. Morgan Securities LLC is referred to herein as the “underwriter.” The underwriter is offering the shares of Class A common stock subject to its acceptance of the shares from the Selling Securityholder and subject to prior sale. The underwriting agreement provides that the obligations of the underwriter to pay for and accept delivery of the shares of Class A common stock offered by this prospectus supplement are subject to the approval of certain legal matters by its counsel and to certain other conditions. The underwriter is obligated to take and pay for all of the shares of Class A common stock offered by this prospectus supplement if any such shares are taken. The underwriter reserves the right to withdraw, cancel or modify offers to the public and to reject orders in whole or in part.</w:t>
      </w:r>
    </w:p>
    <w:p>
      <w:pPr>
        <w:spacing w:after="0" w:line="63"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underwriter is purchasing the shares of Class A common stock from the Selling Securityholder at a price of $45.56 per share. The underwriter initially proposes to offer the shares of Class A common stock to the public at the offering price listed on the cover of this prospectus supplement. After the initial offering of the shares of Class A common stock, if all of the shares of Class A common stock are not sold at the initial public offering price, the applicable offering price and other selling terms may from time to time be varied by the underwriter. The difference between the price at which the underwriter purchases shares of Class A common stock and the price at which the underwriter resells such shares of Class A common stock may be deemed underwriting compensation. The underwriter may effect these transactions by selling shares of Class A common stock to or through dealers, and such dealers may receive compensation in the form of discounts, concessions or commissions from the underwriter and / or purchasers of shares of Class A common stock for whom they may act as agents or to whom they may sell as principal. The underwriter may make offers and sales to or through any affiliate of the underwriter and any such affiliate may offer and sell shares purchased by it to or through the underwriter.</w:t>
      </w:r>
    </w:p>
    <w:p>
      <w:pPr>
        <w:spacing w:after="0" w:line="82"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estimate the total expenses of this offering, payable by us, excluding the underwriting discounts and commissions and transfer taxes, if any, payable by the Selling Securityholder, will be approximately $700,000, which includes amounts that we have agreed to reimburse the underwriter for certain expenses incurred by it in connection with this offering.</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and the Selling Securityholder have agreed to indemnify the underwriter against some specified types of liabilities, including liabilities under the Securities Act, and to contribute to payments the underwriter may be required to make in respect of any of these liabilities.</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Selling Stockholder has agreed with the underwriter, subject to certain exceptions, not to dispose of or hedge any of its Class A common stock or securities convertible into or exchangeable for Class A common stock during the period from the date of this prospectus supplement continuing through the date 60 days after the date of this prospectus supplement, except with the prior written consent of the underwriter. None of the Company, its executive officers or directors are entering into such agreements.</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order to facilitate the offering of the shares of Class A common stock, the underwriter may engage in transactions that stabilize, maintain or otherwise affect the price of the shares of Class A common stock, which involves making bids for, purchasing and selling shares of Class A common stock in the open market to stabilize the price of the shares of Class A common stock. These stabilizing transactions may include making short sales of shares of Class A common stock, which involves the sale by the underwriter of a greater number of shares of Class A common stock than it is required to purchase in this offering, and purchasing shares of Class A common stock on the open market to cover positions created by short sales.</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Class A common stock or preventing or retarding a decline in the market price of Class A common stock, and, as a result, the price of Class A common stock may be higher than the price that otherwise might exist in the open market. If the underwriter commences these activities, it may discontinue them at any time. The underwriter may carry out these transactions on the Nasdaq, in the over-the-counter market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 prospectus supplement in electronic format may be made available on websites maintained by the underwriter, or selling group members, if any, participating in this offering.</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underwriter and its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 and its affiliates have provided, and may in the future provide, a variety of these services to us and to persons and entities with relationships with the Company, for which they received or will receive customary fees and expenses. For example, the underwriter is one of the creditors under Company’s credit facility.</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 and its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Selling Securityholder may be deemed an underwriter in connection with this offering.</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Pursuant to the shareholders’ agreement between us and the Selling Securityholder, we have agreed to indemnify and hold harmless, to the full extent permitted by law, the Selling Securityholder and each person who controls the Selling Securityholder (within the meaning of the Securities Act or the Exchange Act) from and against certain liabilities incurred in connection with the registration of such Selling Securityholder’s shares.</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Once sold under the registration statement of which this prospectus supplement forms a part, the shares of Class A common stock will be freely tradable in the hands of persons other than our affiliates.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Shares of our Class A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Class A common stock must be made in accordance with an exemption from, or in a transaction not subject to, the prospectus requirements of applicable securities laws.</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and the accompanying base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(each, a “Relevant State”), no shares of our Class A common stock shares have been offered or will be offered pursuant to the offering to the public in that Relevant State prior to the publication of a prospectus in relation to the shares of Class A common stock which has been approved by the competent authority in that Relevant State or, where appropriate, approved in another Relevant State and notified to the competent authority in that Relevant State, all in accordance with the Prospectus Regulation (as defined below), except that offers of shares may be made to the public in that Relevant State at any time under the following exemptions under the Prospectus Regulation:</w:t>
      </w:r>
    </w:p>
    <w:p>
      <w:pPr>
        <w:spacing w:after="0" w:line="81"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 for any such offer;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provided that no such offer of Shares shall require the company or any representative to publish a prospectus pursuant to Article 3 of the Prospectus Regulation or supplement a prospectus pursuant to Article 23 of the Prospectus Regulation.</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of Class A common stock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7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Each person in a Relevant State who receives any communication in respect of, or who acquires any shares under, the offering contemplated hereby will be deemed to have represented, warranted and agreed to and with the underwriter and its affiliates and the company that:</w:t>
      </w:r>
    </w:p>
    <w:p>
      <w:pPr>
        <w:spacing w:after="0" w:line="68"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qualified investor within the meaning of the Prospectus Regulation; and</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shares acquired by it as a financial intermediary, as that term is used in Article 5 of the Prospectus Regulation, (i) the shares acquired by it in the offering have not been acquired on a non-discretionary basis on behalf of, nor have they been acquired with a view to their offer or resale to, persons in any Relevant State other than qualified investors, as that term is defined in the Prospectus Regulation, or have been acquired in other circumstances falling within the points (a) to (d) of Article 1(4) of the Prospectus Regulation and the prior consent of the representative has been given to the offer or resale; or</w:t>
      </w:r>
    </w:p>
    <w:p>
      <w:pPr>
        <w:spacing w:after="0" w:line="5" w:lineRule="exact"/>
        <w:rPr>
          <w:rFonts w:ascii="Times New Roman" w:cs="Times New Roman" w:eastAsia="Times New Roman" w:hAnsi="Times New Roman"/>
          <w:sz w:val="18"/>
          <w:szCs w:val="18"/>
          <w:color w:val="auto"/>
        </w:rPr>
      </w:pPr>
    </w:p>
    <w:p>
      <w:pPr>
        <w:jc w:val="both"/>
        <w:ind w:left="1000" w:right="319" w:firstLine="3"/>
        <w:spacing w:after="0" w:line="255" w:lineRule="auto"/>
        <w:tabs>
          <w:tab w:leader="none" w:pos="129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have been acquired by it on behalf of persons in any Relevant State other than qualified investors, the offer of those shares to it is not treated under the Prospectus Regulation as having been made to such persons.</w:t>
      </w:r>
    </w:p>
    <w:p>
      <w:pPr>
        <w:spacing w:after="0" w:line="7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company, the underwriter and its affiliates, and others will rely upon the truth and accuracy of the foregoing representation, acknowledgement and agreement. Notwithstanding the above, a person who is not a qualified investor and who has notified the representative of such fact in writing may, with the prior consent of the representative, be permitted to acquire shares in the offering.</w:t>
      </w: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Kingdom</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and any other material in relation to the shares described herein is only being distributed to, and is only directed at, and any investment or investment activity to which this prospectus relates is available only to, and will be engaged in only with persons who are (i) persons having professional experience in matters relating to investments who fall within the definition of investment professionals in Article 19(5) of the Financial Services and Markets Act 2000 (Financial Promotion) Order 2005; or (ii) high net worth entities falling within Article 49(2)(a) to (d) of the FPO; (iii) outside the UK; or (iv) persons to whom an invitation or inducement to engage in investment activity (within the meaning of Section 21 of the Financial Services and Markets Act of 2000 (FSMA)) in connection with the issue or sale of any shares may otherwise lawfully be communicated or caused to be communicated, (all such persons together, the “Relevant Persons”). The shares are only available in the UK to, and any invitation, offer or agreement to purchase or otherwise acquire the shares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68" w:lineRule="exact"/>
        <w:rPr>
          <w:sz w:val="20"/>
          <w:szCs w:val="20"/>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 for any such offer; or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 provided that no such offer of the shares shall require the company and/or the underwriter and its affiliates to publish a prospectus pursuant to Section 85 of the FSMA or supplement a prospectus pursuant to Article 23 of the UK Prospectus Regulation.</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Each person in the UK who acquires any shares in the offering or to whom any offer is made will be deemed to have represented, acknowledged and agreed to and with the company, the underwriter and its affiliates that it meets the criteria outlined in this section.</w:t>
      </w: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119" w:lineRule="exact"/>
        <w:rPr>
          <w:sz w:val="20"/>
          <w:szCs w:val="20"/>
          <w:color w:val="auto"/>
        </w:rPr>
      </w:pPr>
    </w:p>
    <w:p>
      <w:pPr>
        <w:jc w:val="both"/>
        <w:ind w:left="300" w:right="299" w:firstLine="360"/>
        <w:spacing w:after="0" w:line="281" w:lineRule="auto"/>
        <w:rPr>
          <w:sz w:val="20"/>
          <w:szCs w:val="20"/>
          <w:color w:val="auto"/>
        </w:rPr>
      </w:pPr>
      <w:r>
        <w:rPr>
          <w:rFonts w:ascii="Times New Roman" w:cs="Times New Roman" w:eastAsia="Times New Roman" w:hAnsi="Times New Roman"/>
          <w:sz w:val="17"/>
          <w:szCs w:val="17"/>
          <w:color w:val="auto"/>
        </w:rPr>
        <w:t>No prospectus or other disclosure document (as defined in the Corporations Act 2001 (Cth) of Australia (“Corporations Act”)) in relation to the shares has been or will be lodged with the Australian Securities &amp; Investments Commission (“ASIC”). This prospectus supplement has not been lodged with ASIC and is only directed to certain categories of exempt persons. Accordingly, if you receive this prospectus supplement in Australia:</w:t>
      </w:r>
    </w:p>
    <w:p>
      <w:pPr>
        <w:spacing w:after="0" w:line="56"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confirm and warrant that you are either: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708(8)(a) or (b) of the Corporations Act;</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associated with the company under section 708(12) of the Corporations Act;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prospectus supplement is void and incapable of acceptance; and</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warrant and agree that you will not offer any of the common stock for resale in Australia within 12 months of that common stock being issued unless any such resale offer is exempt from the requirement to issue a disclosure document under section 708 of the Corporations Act.</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shares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outside Hong Kong or only to “professional investors” within the meaning of the Securities and Futures Ordinance (Cap. 571, Laws of Hong Kong) and any rules made thereunder.</w:t>
      </w: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shares offered in this prospectus supplement have not been and will not be registered under the Financial Instruments and Exchange Law of Japan. The shares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68" w:lineRule="exact"/>
        <w:rPr>
          <w:sz w:val="20"/>
          <w:szCs w:val="20"/>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Switzerland</w:t>
      </w:r>
    </w:p>
    <w:p>
      <w:pPr>
        <w:spacing w:after="0" w:line="119"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This prospectus supplement does not constitute an issue prospectus pursuant to Article 652a or Article 1156 of the Swiss Code of Obligations, and the shares will not be listed on the SIX Swiss Exchange. Therefore, this prospectus supplement may not comply with the disclosure standards of the Swiss Code of Obligations and/or the listing rules (including any prospectus schemes) of the SIX Swiss Exchange. Accordingly, the shares may not be offered to the public in or from Switzerland, but only to a selected and limited circle of investors, which do not subscribe to the shares with a view to distribution.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Qatar</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shares described in this prospectus supplement have not been, and will not be, offered, sold or delivered, at any time, directly or indirectly in the State of Qatar in a manner that would constitute a public offering. This prospectus supplement has not been, and will not be, registered with or approved by the Qatar Financial Markets Authority or Qatar Central Bank and may not be publicly distributed. This prospectus supplement is intended for the original recipient only and must not be provided to any other person. It is not for general circulation in the State of Qatar and may not be reproduced or used for any other purpose.</w:t>
      </w: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Arab Emirates</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This offering has not been approved or licensed by the Central Bank of the United Arab Emirates (UAE), 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(DFSA), a regulatory authority of the Dubai International Financial Centre (DIFC). The offering does not constitute a public offer of securities in the UAE, DIFC and/or any other free zone in accordance with the Commercial Companies Law, Federal Law No 8 of 1984 (as amended), DFSA Offered Securities Rules and Nasdaq Dubai Listing Rules, accordingly, or otherwise. The shares may not be offered to the public in the UAE and/or any of the free zones.</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shares may be offered and issued only to a limited number of investors in the UAE or any of its free zones who qualify as sophisticated investors under the relevant laws and regulations of the UAE or the free zone concerned.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Skadden, Arps, Slate, Meagher &amp; Flom LLP, New York, New York, is representing us in connection with this offering. The underwriter is represented by Hogan Lovells US LLP, New York, New York and the Selling Securityholder is represented by Latham &amp; Watkins LLP, San Diego, California.</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2021, and the effectiveness of our internal control over financial reporting as of December 31, 2021 (excluding the internal control over financial reporting of Hygo Energy Transition Ltd (“Hygo”) and Golar LNG Partners LP (“GMLP”), except for the recognition of goodwill and intangible assets that were included in management’s assessment), as set forth in their reports, which as to the report on the effectiveness of New Fortress Energy Inc.’s internal control over financial reporting contains an explanatory paragraph describing the above referenced exclusion of Hygo and GMLP from the scope of such firm's audit of internal control over financial reporting, incorporated by reference in this prospectus supplement and elsewhere in the registration statement. Our financial statements are incorporated by reference in reliance on Ernst &amp; Young LLP’s reports, given on their authority as experts in accounting and auditing.</w:t>
      </w:r>
    </w:p>
    <w:p>
      <w:pPr>
        <w:spacing w:after="0" w:line="8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the consolidated financial statements of GMLP included in our Current Report on Form 8-K filed with the SEC on March 18, 2021 for the year ended December 31, 2020, as set forth in their report (which contains an explanatory paragraph describing conditions that raise substantial doubt about GMLP’s ability to continue as a going concern as described in Note 1 to GMLP’s consolidated financial statements), which is incorporated by reference in this prospectus supplement and elsewhere in the registration statement. GMLP’s financial statements are incorporated by reference in reliance on Ernst &amp; Young LLP’s report, given on their authority as experts in accounting and auditing.</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the consolidated financial statements of Hygo included in our Current Report on Form 8-K filed with the SEC on March 18, 2021 for the year ended December 31, 2020, as set forth in their report, which is incorporated by reference in this prospectus supplement and elsewhere in the registration statement. Hygo’s financial statements are incorporated by reference in reliance on Ernst &amp; Young LLP’s report, given 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under the Exchange Act. Our SEC filings are available to the public at the SEC’s website at www.sec.gov. We also make available free of charge through our website, www.newfortressenergy.com, our Annual Report on Form 10-K, Quarterly Reports on Form 10-Q, Current Reports on Form 8- K, and, if applicable, amendments to those reports filed or furnished pursuant to Section 13(a) of the Exchange Act as soon as reasonably practicable after we electronically file such material with, or furnish it to, the SEC. The information on or otherwise accessible through our website does not constitute a part of, and is not incorporated by reference into, this prospectus supplement or the accompanying prospectus.</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and any accompanying prospectus,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supplement, any accompanying prospectus, any subsequently filed document deemed incorporated by reference or any free writing prospectus prepared by or on behalf of us. This prospectus supplement and any accompanying prospectus incorporate by reference the documents set forth below that we have previously filed with the SEC (other than information deemed furnished and not filed in accordance with SEC rules, including Items 2.02 and 7.01 of Form 8-K).</w:t>
      </w:r>
    </w:p>
    <w:p>
      <w:pPr>
        <w:spacing w:after="0" w:line="80" w:lineRule="exact"/>
        <w:rPr>
          <w:sz w:val="20"/>
          <w:szCs w:val="20"/>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fiscal year ended December 31, 2021, filed with the SEC on </w:t>
      </w:r>
      <w:hyperlink r:id="rId43">
        <w:r>
          <w:rPr>
            <w:rFonts w:ascii="Times New Roman" w:cs="Times New Roman" w:eastAsia="Times New Roman" w:hAnsi="Times New Roman"/>
            <w:sz w:val="18"/>
            <w:szCs w:val="18"/>
            <w:u w:val="single" w:color="auto"/>
            <w:color w:val="0000EE"/>
          </w:rPr>
          <w:t>March 1, 2022</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jc w:val="both"/>
        <w:ind w:left="1000" w:right="319" w:hanging="348"/>
        <w:spacing w:after="0" w:line="275"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2022, June 30, 2022 and September 30, 2022 filed with the SEC on </w:t>
      </w:r>
      <w:hyperlink r:id="rId44">
        <w:r>
          <w:rPr>
            <w:rFonts w:ascii="Times New Roman" w:cs="Times New Roman" w:eastAsia="Times New Roman" w:hAnsi="Times New Roman"/>
            <w:sz w:val="18"/>
            <w:szCs w:val="18"/>
            <w:u w:val="single" w:color="auto"/>
            <w:color w:val="0000EE"/>
          </w:rPr>
          <w:t>May 6, 2022</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August 5,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6">
        <w:r>
          <w:rPr>
            <w:rFonts w:ascii="Times New Roman" w:cs="Times New Roman" w:eastAsia="Times New Roman" w:hAnsi="Times New Roman"/>
            <w:sz w:val="18"/>
            <w:szCs w:val="18"/>
            <w:u w:val="single" w:color="auto"/>
            <w:color w:val="0000EE"/>
          </w:rPr>
          <w:t>November 8, 2022</w:t>
        </w:r>
      </w:hyperlink>
      <w:r>
        <w:rPr>
          <w:rFonts w:ascii="Times New Roman" w:cs="Times New Roman" w:eastAsia="Times New Roman" w:hAnsi="Times New Roman"/>
          <w:sz w:val="18"/>
          <w:szCs w:val="18"/>
          <w:color w:val="auto"/>
        </w:rPr>
        <w:t>, respectively;</w:t>
      </w:r>
    </w:p>
    <w:p>
      <w:pPr>
        <w:spacing w:after="0" w:line="28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7">
        <w:r>
          <w:rPr>
            <w:rFonts w:ascii="Times New Roman" w:cs="Times New Roman" w:eastAsia="Times New Roman" w:hAnsi="Times New Roman"/>
            <w:sz w:val="18"/>
            <w:szCs w:val="18"/>
            <w:u w:val="single" w:color="auto"/>
            <w:color w:val="0000EE"/>
          </w:rPr>
          <w:t>March 18,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Exhibit 99.3 thereto), </w:t>
      </w:r>
      <w:hyperlink r:id="rId48">
        <w:r>
          <w:rPr>
            <w:rFonts w:ascii="Times New Roman" w:cs="Times New Roman" w:eastAsia="Times New Roman" w:hAnsi="Times New Roman"/>
            <w:sz w:val="18"/>
            <w:szCs w:val="18"/>
            <w:u w:val="single" w:color="auto"/>
            <w:color w:val="0000EE"/>
          </w:rPr>
          <w:t>June 3,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9">
        <w:r>
          <w:rPr>
            <w:rFonts w:ascii="Times New Roman" w:cs="Times New Roman" w:eastAsia="Times New Roman" w:hAnsi="Times New Roman"/>
            <w:sz w:val="18"/>
            <w:szCs w:val="18"/>
            <w:u w:val="single" w:color="auto"/>
            <w:color w:val="0000EE"/>
          </w:rPr>
          <w:t>June 17,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July 8,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July 29,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August 19,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 xml:space="preserve">October 7, 2022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November 22, 2022</w:t>
        </w:r>
      </w:hyperlink>
      <w:r>
        <w:rPr>
          <w:rFonts w:ascii="Times New Roman" w:cs="Times New Roman" w:eastAsia="Times New Roman" w:hAnsi="Times New Roman"/>
          <w:sz w:val="18"/>
          <w:szCs w:val="18"/>
          <w:color w:val="000000"/>
        </w:rPr>
        <w:t>;</w:t>
      </w:r>
    </w:p>
    <w:p>
      <w:pPr>
        <w:spacing w:after="0" w:line="67"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Registration Statement on Form 8-A/A for registration of Class A common stock pursuant to Section 12(b) of the Exchange Act, filed on </w:t>
      </w:r>
      <w:hyperlink r:id="rId55">
        <w:r>
          <w:rPr>
            <w:rFonts w:ascii="Times New Roman" w:cs="Times New Roman" w:eastAsia="Times New Roman" w:hAnsi="Times New Roman"/>
            <w:sz w:val="18"/>
            <w:szCs w:val="18"/>
            <w:u w:val="single" w:color="auto"/>
            <w:color w:val="0000EE"/>
          </w:rPr>
          <w:t>August 7, 2020</w:t>
        </w:r>
      </w:hyperlink>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Schedule 14A for our 2022 Annual Meeting of Shareholders, filed with the SEC on </w:t>
      </w:r>
      <w:hyperlink r:id="rId56">
        <w:r>
          <w:rPr>
            <w:rFonts w:ascii="Times New Roman" w:cs="Times New Roman" w:eastAsia="Times New Roman" w:hAnsi="Times New Roman"/>
            <w:sz w:val="18"/>
            <w:szCs w:val="18"/>
            <w:u w:val="single" w:color="auto"/>
            <w:color w:val="0000EE"/>
          </w:rPr>
          <w:t>April 29, 2022</w:t>
        </w:r>
      </w:hyperlink>
      <w:r>
        <w:rPr>
          <w:rFonts w:ascii="Times New Roman" w:cs="Times New Roman" w:eastAsia="Times New Roman" w:hAnsi="Times New Roman"/>
          <w:sz w:val="18"/>
          <w:szCs w:val="18"/>
          <w:color w:val="auto"/>
        </w:rPr>
        <w:t>, that are incorporated by reference into our Annual Report on Form 10-K for the fiscal year ended December 31, 2021.</w:t>
      </w:r>
    </w:p>
    <w:p>
      <w:pPr>
        <w:spacing w:after="0" w:line="68" w:lineRule="exact"/>
        <w:rPr>
          <w:rFonts w:ascii="Times New Roman" w:cs="Times New Roman" w:eastAsia="Times New Roman" w:hAnsi="Times New Roman"/>
          <w:sz w:val="18"/>
          <w:szCs w:val="18"/>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(i) after the date of the initial filing of the registration statement of which this prospectus supplement is a part and prior to effectiveness of the registration statement and (ii) after the date of this prospectus supplement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79" w:lineRule="exact"/>
        <w:rPr>
          <w:rFonts w:ascii="Times New Roman" w:cs="Times New Roman" w:eastAsia="Times New Roman" w:hAnsi="Times New Roman"/>
          <w:sz w:val="18"/>
          <w:szCs w:val="18"/>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12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Fortress Energy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111 W. 19th Street, 8th Floor</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9" w:lineRule="exact"/>
        <w:rPr>
          <w:rFonts w:ascii="Times New Roman" w:cs="Times New Roman" w:eastAsia="Times New Roman" w:hAnsi="Times New Roman"/>
          <w:sz w:val="18"/>
          <w:szCs w:val="18"/>
          <w:color w:val="auto"/>
        </w:rPr>
      </w:pPr>
    </w:p>
    <w:p>
      <w:pPr>
        <w:ind w:left="4340" w:right="3959" w:hanging="398"/>
        <w:spacing w:after="0" w:line="555" w:lineRule="auto"/>
        <w:tabs>
          <w:tab w:leader="none" w:pos="4383"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268-7400 S-14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-50800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236220</wp:posOffset>
            </wp:positionV>
            <wp:extent cx="2597150" cy="685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259715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Preferred Stock</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Depositary Shares</w:t>
      </w:r>
    </w:p>
    <w:p>
      <w:pPr>
        <w:jc w:val="center"/>
        <w:ind w:right="19"/>
        <w:spacing w:after="0" w:line="231"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32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b w:val="1"/>
          <w:bCs w:val="1"/>
          <w:color w:val="auto"/>
        </w:rPr>
        <w:t>149,055,732 Shares of Class A Common Stock Offered by Selling Securityholders</w:t>
      </w:r>
    </w:p>
    <w:p>
      <w:pPr>
        <w:spacing w:after="0" w:line="111" w:lineRule="exact"/>
        <w:rPr>
          <w:sz w:val="20"/>
          <w:szCs w:val="20"/>
          <w:color w:val="auto"/>
        </w:rPr>
      </w:pPr>
    </w:p>
    <w:p>
      <w:pPr>
        <w:jc w:val="both"/>
        <w:ind w:left="400" w:right="419" w:firstLine="360"/>
        <w:spacing w:after="0" w:line="254" w:lineRule="auto"/>
        <w:rPr>
          <w:sz w:val="20"/>
          <w:szCs w:val="20"/>
          <w:color w:val="auto"/>
        </w:rPr>
      </w:pPr>
      <w:r>
        <w:rPr>
          <w:rFonts w:ascii="Times New Roman" w:cs="Times New Roman" w:eastAsia="Times New Roman" w:hAnsi="Times New Roman"/>
          <w:sz w:val="18"/>
          <w:szCs w:val="18"/>
          <w:color w:val="auto"/>
        </w:rPr>
        <w:t>This prospectus relates to shares of our Class A common stock, par value $0.01 per share (“Class A common stock”), shares of our preferred stock, par value $0.01 per share (“preferred stock”), depositary receipts, representing fractional shares of our preferred stock (the “depositary shares”), debt securities, which may be senior debt securities or subordinated debt securities, and warrants to purchase shares of our Class A common stock, preferred stock or our debt securities which we may offer and sell from time to time in one or more offerings. In addition, the selling securityholders named in this prospectus or in any supplement to this prospectus may offer and sell Class A common stock from time to time. We will not receive any of the proceeds from the sale of our Class A common stock by the selling securityholders.</w:t>
      </w:r>
    </w:p>
    <w:p>
      <w:pPr>
        <w:spacing w:after="0" w:line="84" w:lineRule="exact"/>
        <w:rPr>
          <w:sz w:val="20"/>
          <w:szCs w:val="20"/>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If required, we will provide the specific prices and terms of these securities in one or more supplements to this prospectus at the time of offering. You should read this prospectus and any accompanying prospectus supplement carefully before you make your investment decision.</w:t>
      </w:r>
    </w:p>
    <w:p>
      <w:pPr>
        <w:spacing w:after="0" w:line="64" w:lineRule="exact"/>
        <w:rPr>
          <w:sz w:val="20"/>
          <w:szCs w:val="20"/>
          <w:color w:val="auto"/>
        </w:rPr>
      </w:pPr>
    </w:p>
    <w:p>
      <w:pPr>
        <w:jc w:val="both"/>
        <w:ind w:left="400" w:right="4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number of risks. See “Risk Factors” on page </w:t>
      </w:r>
      <w:r>
        <w:rPr>
          <w:rFonts w:ascii="Times New Roman" w:cs="Times New Roman" w:eastAsia="Times New Roman" w:hAnsi="Times New Roman"/>
          <w:sz w:val="18"/>
          <w:szCs w:val="18"/>
          <w:b w:val="1"/>
          <w:bCs w:val="1"/>
          <w:u w:val="single" w:color="auto"/>
          <w:color w:val="0000EE"/>
        </w:rPr>
        <w:t>6</w:t>
      </w:r>
      <w:r>
        <w:rPr>
          <w:rFonts w:ascii="Times New Roman" w:cs="Times New Roman" w:eastAsia="Times New Roman" w:hAnsi="Times New Roman"/>
          <w:sz w:val="18"/>
          <w:szCs w:val="18"/>
          <w:b w:val="1"/>
          <w:bCs w:val="1"/>
          <w:color w:val="auto"/>
        </w:rPr>
        <w:t xml:space="preserve"> before you make your investment decision.</w:t>
      </w:r>
    </w:p>
    <w:p>
      <w:pPr>
        <w:spacing w:after="0" w:line="51" w:lineRule="exact"/>
        <w:rPr>
          <w:sz w:val="20"/>
          <w:szCs w:val="20"/>
          <w:color w:val="auto"/>
        </w:rPr>
      </w:pPr>
    </w:p>
    <w:p>
      <w:pPr>
        <w:jc w:val="both"/>
        <w:ind w:left="400" w:right="419" w:firstLine="360"/>
        <w:spacing w:after="0" w:line="258" w:lineRule="auto"/>
        <w:rPr>
          <w:sz w:val="20"/>
          <w:szCs w:val="20"/>
          <w:color w:val="auto"/>
        </w:rPr>
      </w:pPr>
      <w:r>
        <w:rPr>
          <w:rFonts w:ascii="Times New Roman" w:cs="Times New Roman" w:eastAsia="Times New Roman" w:hAnsi="Times New Roman"/>
          <w:sz w:val="18"/>
          <w:szCs w:val="18"/>
          <w:color w:val="auto"/>
        </w:rPr>
        <w:t>We or the selling securityholders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75" w:lineRule="exact"/>
        <w:rPr>
          <w:sz w:val="20"/>
          <w:szCs w:val="20"/>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NASDAQ Global Select Market under the trading symbol “NFE.” Each prospectus supplement will indicate whether the securities offered thereby will be listed on any securities exchange.</w:t>
      </w:r>
    </w:p>
    <w:p>
      <w:pPr>
        <w:spacing w:after="0" w:line="320" w:lineRule="exact"/>
        <w:rPr>
          <w:sz w:val="20"/>
          <w:szCs w:val="20"/>
          <w:color w:val="auto"/>
        </w:rPr>
      </w:pPr>
    </w:p>
    <w:p>
      <w:pPr>
        <w:ind w:left="400" w:right="799"/>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tbl>
      <w:tblPr>
        <w:tblLayout w:type="fixed"/>
        <w:tblInd w:w="300" w:type="dxa"/>
        <w:tblCellMar>
          <w:top w:w="0" w:type="dxa"/>
          <w:left w:w="0" w:type="dxa"/>
          <w:bottom w:w="0" w:type="dxa"/>
          <w:right w:w="0" w:type="dxa"/>
        </w:tblCellMar>
      </w:tblPr>
      <w:tr>
        <w:trPr>
          <w:trHeight w:val="161"/>
        </w:trPr>
        <w:tc>
          <w:tcPr>
            <w:tcW w:w="822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4"/>
        </w:trPr>
        <w:tc>
          <w:tcPr>
            <w:tcW w:w="82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24"/>
                <w:szCs w:val="24"/>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1980" w:type="dxa"/>
            <w:vAlign w:val="bottom"/>
            <w:tcBorders>
              <w:top w:val="single" w:sz="8" w:color="0000EE"/>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2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SECURITIES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2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DEPOSITARY SHARES</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17</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DESCRIPTION OF DEBT SECURITIES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19</w:t>
            </w: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WARRANTS</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21</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SELLING SECURITYHOLDERS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22</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OUR OPERATING AGREEMENT AND PROVISIONS OF DELAWARE LAW</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24</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1980" w:type="dxa"/>
            <w:vAlign w:val="bottom"/>
            <w:tcBorders>
              <w:top w:val="single" w:sz="8" w:color="0000EE"/>
            </w:tcBorders>
            <w:shd w:val="clear" w:color="auto" w:fill="CCEEFF"/>
          </w:tcPr>
          <w:p>
            <w:pPr>
              <w:spacing w:after="0"/>
              <w:rPr>
                <w:sz w:val="6"/>
                <w:szCs w:val="6"/>
                <w:color w:val="auto"/>
              </w:rPr>
            </w:pPr>
          </w:p>
        </w:tc>
        <w:tc>
          <w:tcPr>
            <w:tcW w:w="1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30</w:t>
            </w: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 FEDERAL INCOME TAX CONSIDERATIONS FOR NON-U.S. HOLDERS OF CLASS A</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860" w:type="dxa"/>
            <w:vAlign w:val="bottom"/>
            <w:tcBorders>
              <w:top w:val="single" w:sz="8" w:color="0000EE"/>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COMMON STOCK</w:t>
            </w:r>
          </w:p>
        </w:tc>
        <w:tc>
          <w:tcPr>
            <w:tcW w:w="118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w w:val="88"/>
              </w:rPr>
              <w:t>32</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ERISA CONSIDERATIONS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35</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37</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EXPERTS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37</w:t>
            </w: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we filed with the Securities and Exchange Commission (the “SEC”) as a “well-known seasoned issuer” (“WKSI”) as defined in Rule 405 under the Securities Act of 1933, as amended (the “Securities Act”). Under this shelf registration process, we may sell from time to time any combination of the securities described in this prospectus. In addition, certain of our securityholders may sell up to 149,055,732 shares of Class A common stock from time to time in one or more offerings. This prospectus only provides you with a general description of the securities that we and the selling securityholders may offer. Each time we or any securityholders offer, issue or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8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other than that contained in or incorporated by reference into this prospectus, any accompanying prospectus supplement and any free writing prospectus prepared by or on behalf of us. Neither we nor the selling securityholders take responsibility for, and can provide no assurance as to the reliability of, any other information that others may give you. Neither we nor the selling securityholders are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8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information in this prospectus is accurate as of the date on the front cover. You should not assume that the information contained in this prospectus is accurate as of any other date.</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When used in this prospectus, the terms “NFE,” “we,” “our” and “us” refer to New Fortress Energy Inc. and its consolidated subsidiaries, unless otherwise specified or the context otherwise requires.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under the Securities Exchange Act of 1934, as amended (the “Exchange Act”). Our SEC filings are available to the public at the SEC’s website at www.sec.gov.</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80" w:lineRule="exact"/>
        <w:rPr>
          <w:sz w:val="20"/>
          <w:szCs w:val="20"/>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fiscal year ended December 31, 2020, filed with the SEC on </w:t>
      </w:r>
      <w:hyperlink r:id="rId62">
        <w:r>
          <w:rPr>
            <w:rFonts w:ascii="Times New Roman" w:cs="Times New Roman" w:eastAsia="Times New Roman" w:hAnsi="Times New Roman"/>
            <w:sz w:val="18"/>
            <w:szCs w:val="18"/>
            <w:u w:val="single" w:color="auto"/>
            <w:color w:val="0000EE"/>
          </w:rPr>
          <w:t>March 16, 2021</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63">
        <w:r>
          <w:rPr>
            <w:rFonts w:ascii="Times New Roman" w:cs="Times New Roman" w:eastAsia="Times New Roman" w:hAnsi="Times New Roman"/>
            <w:sz w:val="18"/>
            <w:szCs w:val="18"/>
            <w:u w:val="single" w:color="auto"/>
            <w:color w:val="0000EE"/>
          </w:rPr>
          <w:t>January 20,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4">
        <w:r>
          <w:rPr>
            <w:rFonts w:ascii="Times New Roman" w:cs="Times New Roman" w:eastAsia="Times New Roman" w:hAnsi="Times New Roman"/>
            <w:sz w:val="18"/>
            <w:szCs w:val="18"/>
            <w:u w:val="single" w:color="auto"/>
            <w:color w:val="0000EE"/>
          </w:rPr>
          <w:t>March 18, 2021</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Registration Statement on Form 8-A/A for registration of Class A common stock pursuant to Section 12(b) of the Exchange Act, filed on </w:t>
      </w:r>
      <w:hyperlink r:id="rId55">
        <w:r>
          <w:rPr>
            <w:rFonts w:ascii="Times New Roman" w:cs="Times New Roman" w:eastAsia="Times New Roman" w:hAnsi="Times New Roman"/>
            <w:sz w:val="18"/>
            <w:szCs w:val="18"/>
            <w:u w:val="single" w:color="auto"/>
            <w:color w:val="0000EE"/>
          </w:rPr>
          <w:t>August 7, 2020</w:t>
        </w:r>
      </w:hyperlink>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Schedule 14A for our 2020 Annual Meeting of Shareholders, filed with the SEC on </w:t>
      </w:r>
      <w:hyperlink r:id="rId65">
        <w:r>
          <w:rPr>
            <w:rFonts w:ascii="Times New Roman" w:cs="Times New Roman" w:eastAsia="Times New Roman" w:hAnsi="Times New Roman"/>
            <w:sz w:val="18"/>
            <w:szCs w:val="18"/>
            <w:u w:val="single" w:color="auto"/>
            <w:color w:val="0000EE"/>
          </w:rPr>
          <w:t>April 28, 2020</w:t>
        </w:r>
      </w:hyperlink>
      <w:r>
        <w:rPr>
          <w:rFonts w:ascii="Times New Roman" w:cs="Times New Roman" w:eastAsia="Times New Roman" w:hAnsi="Times New Roman"/>
          <w:sz w:val="18"/>
          <w:szCs w:val="18"/>
          <w:color w:val="auto"/>
        </w:rPr>
        <w:t>, that are incorporated by reference into our Annual Report on Form 10-K for the fiscal year ended December 31, 2019.</w:t>
      </w:r>
    </w:p>
    <w:p>
      <w:pPr>
        <w:spacing w:after="0" w:line="68" w:lineRule="exact"/>
        <w:rPr>
          <w:rFonts w:ascii="Times New Roman" w:cs="Times New Roman" w:eastAsia="Times New Roman" w:hAnsi="Times New Roman"/>
          <w:sz w:val="18"/>
          <w:szCs w:val="18"/>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(i) after the date of the initial filing of the registration statement of which this prospectus is a part and prior to effectiveness of the registration statement and (ii)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79" w:lineRule="exact"/>
        <w:rPr>
          <w:rFonts w:ascii="Times New Roman" w:cs="Times New Roman" w:eastAsia="Times New Roman" w:hAnsi="Times New Roman"/>
          <w:sz w:val="18"/>
          <w:szCs w:val="18"/>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12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Fortress Energy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111 W. 19th Street, 8th Floor</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9" w:lineRule="exact"/>
        <w:rPr>
          <w:rFonts w:ascii="Times New Roman" w:cs="Times New Roman" w:eastAsia="Times New Roman" w:hAnsi="Times New Roman"/>
          <w:sz w:val="18"/>
          <w:szCs w:val="18"/>
          <w:color w:val="auto"/>
        </w:rPr>
      </w:pPr>
    </w:p>
    <w:p>
      <w:pPr>
        <w:ind w:left="4380" w:hanging="438"/>
        <w:spacing w:after="0"/>
        <w:tabs>
          <w:tab w:leader="none" w:pos="4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268-7400</w:t>
      </w:r>
    </w:p>
    <w:p>
      <w:pPr>
        <w:spacing w:after="0" w:line="206"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and any documents incorporated by reference contain statements that are “forward-looking” within the meaning of the Private Securities Litigation Reform Act of 1995.</w:t>
      </w:r>
    </w:p>
    <w:p>
      <w:pPr>
        <w:spacing w:after="0" w:line="68"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All statements contained in this prospectus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Forward-looking statements are subject to risks and uncertainties, including but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When considering forward-looking statements, you should keep in mind the risks, uncertainties and other cautionary statements made in this prospectus, any accompanying prospectus supplement and the documents incorporated by reference. While it is impossible to identify all factors, factors that could cause actual results to differ materially from those estimated by us include:</w:t>
      </w:r>
    </w:p>
    <w:p>
      <w:pPr>
        <w:spacing w:after="0" w:line="89"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one or more of our customers;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procure natural gas in its liquid state at or below its boiling point at or near atmospheric pressure (“LNG”) on a fixed-price basis, or otherwise to manage LNG price risks, including hedging arrangements;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construction on our LNG terminals, facilities, power plants or liquefaction facilities and the terms of our construction contracts for the completion of these assets;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overruns and delays in the completion of one or more of our LNG terminals, facilities, power plants or liquefaction facilities, as well as difficulties in obtaining sufficient financing to pay for such costs and delays;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to effect our strategy;</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Proposed Mergers (as defined below) is subject to conditions, some or all of which may not be satisfied or completed on a timely basis, or at all, and we, Hygo Energy Transition Ltd. (“Hygo”) and Golar LNG Partners LP (Nasdaq: GMLP) (“GMLP”) are each subject to business uncertainties and contractual restrictions while the Proposed Mergers are pending;</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Proposed Mergers, we may be unable to successfully integrate the businesses and realize the anticipated benefits of the Proposed Mergers;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produce or purchase sufficient amounts of LNG or natural gas at favorable prices to meet customer demand;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hurricanes or other natural or manmade disasters;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 maintain approvals and permits from governmental and regulatory agencies;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regulatory, environmental, political, legal and economic risks pertaining to the construction and operation of our facilities;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contract with suppliers and tankers to facilitate the delivery of LNG on their chartered LNG tankers;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or other changes in the demand for and price of LNG and natural gas;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natural gas to be a competitive source of energy in the markets in which we operate, and seek to operate;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third parties in our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re-finance our outstanding indebtedness;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environmental and similar laws and governmental regulations that are adverse to our operations;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enter into favorable agreements and obtain necessary regulatory approvals;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treatment of us or of an investment in our Class A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Exchange Transactions (as defined below);</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 health and safety incident relating to our business;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and the unavailability of skilled workers or our failure to attract and retain qualified personnel;</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jurisdictions in which we do, or seek to do, business, particularly Florida, Jamaica, Brazil and the Caribbean;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the “Risk Factors” section of our Annual Report on Form 10-K and our other filings with the SEC.</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All forward-looking statements speak only as of the date of this prospectus or, in the case of any accompanying prospectus supplement or documents incorporated by reference, the date of any such document. You are cautioned not to place undue reliance on any forward-looking statements made by us or on our behalf.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except as may be required by law. Furthermore, we cannot guarantee future results, events, levels of activity, performance, projections or achievements.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are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generating a positive economic impact worldwide. Our long-term mission is to become one of the world’s leading carbon emission-free independent power providing companies.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deliver targeted energy solutions by employing an integrated LNG supply and delivery model:</w:t>
      </w:r>
    </w:p>
    <w:p>
      <w:pPr>
        <w:spacing w:after="0" w:line="115" w:lineRule="exact"/>
        <w:rPr>
          <w:sz w:val="20"/>
          <w:szCs w:val="20"/>
          <w:color w:val="auto"/>
        </w:rPr>
      </w:pPr>
    </w:p>
    <w:p>
      <w:pPr>
        <w:jc w:val="both"/>
        <w:ind w:left="300" w:right="3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LNG Supply and Liquefaction </w:t>
      </w:r>
      <w:r>
        <w:rPr>
          <w:rFonts w:ascii="Times New Roman" w:cs="Times New Roman" w:eastAsia="Times New Roman" w:hAnsi="Times New Roman"/>
          <w:sz w:val="18"/>
          <w:szCs w:val="18"/>
          <w:color w:val="auto"/>
        </w:rPr>
        <w:t>- We supply LNG to our customers, typically by entering into long-term LNG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supply contracts, which are generally based on an index such as Henry Hub plus an additional fee. We have successfully capitalized on current market conditions to acquire LNG via long-term contracts, which are also based on Henry Hub plus an additional fee, with attractive terms. In addition, we supply LNG to our customers from open market purchases and LNG from our existing liquefaction and storage facility in Miami, Florida (the “Miami Facility”).</w:t>
      </w:r>
    </w:p>
    <w:p>
      <w:pPr>
        <w:spacing w:after="0" w:line="74"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Shipping </w:t>
      </w:r>
      <w:r>
        <w:rPr>
          <w:rFonts w:ascii="Times New Roman" w:cs="Times New Roman" w:eastAsia="Times New Roman" w:hAnsi="Times New Roman"/>
          <w:sz w:val="18"/>
          <w:szCs w:val="18"/>
          <w:color w:val="auto"/>
        </w:rPr>
        <w:t>- We have long-term charters for liquefied natural gas carriers and floating storage and regasification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These assets transport LNG from ports to our downstream facilities and gasify LNG for ultimate delivery to our customers.</w:t>
      </w:r>
    </w:p>
    <w:p>
      <w:pPr>
        <w:spacing w:after="0" w:line="6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Facilities </w:t>
      </w:r>
      <w:r>
        <w:rPr>
          <w:rFonts w:ascii="Times New Roman" w:cs="Times New Roman" w:eastAsia="Times New Roman" w:hAnsi="Times New Roman"/>
          <w:sz w:val="18"/>
          <w:szCs w:val="18"/>
          <w:color w:val="auto"/>
        </w:rPr>
        <w:t>- Through our network of current and planned downstream facilities and logistics assets,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strategically positioned to deliver gas and power solutions to our customers seeking either to transition from environmentally dirtier distillate fuels such as automotive diesel oil and heavy fuel oil or to purchase natural gas to meet their current fuel needs.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As an integrated gas-to-power energy infrastructure company, our business model spans the entire production and delivery chain from natural gas procurement and liquefaction to shipping, logistics, facilities and conversion or development of natural gas-fired power generation. While historically, natural gas procurement or liquefaction, transportation, regasification and power generation have been financed separately, the segregation of such projects has inhibited the development of natural gas-fired power in many developing countries. In executing our business model, we have the capability to build or arrange any necessary infrastructure ourselves without reliance on multilateral financing sources or traditional project finance structures, so that we maintain our strategic flexibility.</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currently conduct our operations at our LNG storage and regasification facility at the Port of Montego Bay, Jamaica, our marine LNG storage and regasification facility in Old Harbour, Jamaica, our landed micro-fuel handling facility in San Juan, Puerto Rico (the “San Juan Facility”) and at our Miami Facility. In addition, we are currently developing facilities in Mexico, Nicaragua and Ireland. We are in active discussions with additional customers in multiple regions around the world who may have significant demand for additional LNG, although there can be no assurance that these discussions will result in additional contracts or the terms of such contracts or that we will be able to achieve our target pricing or margins.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Proposed Mergers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January 13, 2021, we entered into definitive agreements to acquire (i) Hygo, a 50-50 joint venture between Golar LNG Limited (Nasdaq: GLNG) and Stonepeak Infrastructure Fund II Cayman (G) Ltd., a fund managed by Stonepeak Infrastructure Partners, and (ii) Golar LNG Partners LP (Nasdaq: GMLP) (the Hygo merger together with the GMLP merger, the “Proposed Mergers”). The closing of the Proposed Mergers are each subject to the satisfaction or waiver of certain conditions, some or all of such terms (as described in the Company’s filings with the SEC that are incorporated herein by reference) may not be satisfied or completed on a timely basis, or at all.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principal executive office is located at 111 W. 19th Street, 8th Floor, New York, NY 10011 and our telephone number is (516) 268-7400. We maintain a website at www.newfortressenergy.com. The information on our website is not incorporated by reference in this prospectus or any accompanying prospectus supplement, and you should not consider it a part of this prospectus or any accompanying prospectus supplement.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Before you invest in any of our securities, in addition to the other information in this prospectus and any prospectus supplement or other offering materials, you should carefully consider the risk factors in any prospectus supplement as well as under the heading “Risk Factors” contained in Part I, Item 1A. in our Annual Report on Form 10-K for the year ended December 31, 2020, which is incorporated by reference into this prospectus and any prospectus supplement, as the same may be amended, supplemented or superseded from time to time by our filings under Sections 13(a), 13(c), 14 and 15(d) of the Exchange Act. These risks could materially and adversely affect our business, operating results, cash flows and financial condition and could result in a partial or complete loss of your investment. See “Where You Can Find More Information” and “Cautionary Note Regarding Forward-Looking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any accompanying prospectus supplement, we expect to use the net proceeds from the sale of securities for general corporate purposes, including the financing of our operations, the possible repayment of indebtedness, and possible business acquisitions.</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Unless set forth in an accompanying prospectus supplement, we will not receive any proceeds in the event that securities are sold by a selling securityholder.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This prospectus contains summary descriptions of the Class A common stock, preferred stock, depositary shares, debt securities and warrants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following description of shares of New Fortress Energy Inc. (the “Company,” “NFE,” “our” or “we”) is based upon the provisions of the General Corporation Law of the State of Delaware (the “DGCL”), the Certificate of Incorporation of the Company (the “Certificate of Incorporation”) and the Bylaws of the Company (the “Bylaws”). The summary is not complete and is subject to, and is qualified in its entirety by express reference to, the provisions of applicable law and to the Certificate of Incorporation and the Bylaws. See “Where You Can Find More Information.”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Under our Certificate of Incorporation, we are authorized to issue up to 750 million shares of Class A common stock, each having a par value of one cent ($0.01), 50 million shares of Class B common stock, each having a par value of one cent ($0.01), and 200 million shares of preferred stock, each having a par value of one cent ($0.01). Our Class A common stock are registered pursuant to Section 12 of the Securities Exchange Act of 1934, as amended (the “Exchange Act”), and are listed on the Nasdaq Global Select Market (“Nasdaq”) under the symbol “NFE.” Our Class B common stock are not registered pursuant to Section 12 of the Exchange Act nor listed on any securities exchange. As of March 15, 2021, there were 175,320,414 shares of Class A common stock outstanding. As of the date hereof, there are no shares of Class B common stock or preferred stock outstanding.</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Class A common stock are entitled to one vote per share held of record on all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voted upon by the stockholders. Holders of our Class A common stock vote together as a single class on all matters presented to our stockholders for their vote or approval, except that the amendment of certain provisions of our Certificate of Incorporation or Bylaws that would have a material adverse effect on the rights or preferences of any class or series of shares in relation to other classes or series of shares must be approved by the holders of a majority of the outstanding shares of the class or series affected. The holders of Class A common stock do not have cumulative voting rights in the election of directors.</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Holders of our Class A common stock are entitled to ratably receive dividends when and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our board of directors out of funds legally available for that purpose, subject to any statutory or contractual restrictions on the payment of dividends and to any prior rights and preferences that may be applicable to any outstanding preferred stock.</w:t>
      </w:r>
    </w:p>
    <w:p>
      <w:pPr>
        <w:spacing w:after="0" w:line="72"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Upon our dissolution, liquidation or winding up, after payment in full of all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paid to creditors and to the holders of preferred stock having liquidation preferences, if any, the holders of our Class A common stock will be entitled to receive our remaining assets available for distribution in accordance with the DGCL.</w:t>
      </w:r>
    </w:p>
    <w:p>
      <w:pPr>
        <w:spacing w:after="0" w:line="72" w:lineRule="exact"/>
        <w:rPr>
          <w:sz w:val="20"/>
          <w:szCs w:val="20"/>
          <w:color w:val="auto"/>
        </w:rPr>
      </w:pPr>
    </w:p>
    <w:p>
      <w:pPr>
        <w:jc w:val="both"/>
        <w:ind w:left="300" w:right="3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The Class A common stock have no preemptive or conversion rights and are not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calls or assessment by us. There are no redemption or sinking fund provisions applicable to the Class A common stock. All outstanding Class A common stock are fully paid and non-assessable.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Prior to the exchange of all of the units (the “NFI LLC Units”) (other than NFI LLC Units owned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NFE or its subsidiaries) of New Fortress Intermediate LLC (“NFI”) and all of the shares of Class B common stock for shares of Class A common stock (the “Exchange Transactions”), the NFI unitholders held one share of Class B common stock for each NFI LLC Unit that they held. Accordingly, prior to the Exchange Transactions, the NFI unitholders had a number of votes in NFE equal to the aggregate number of NFI LLC Units that they held. Following the Exchange Transactions and as of the date hereof, there are no shares of Class B common stock outstanding and all of the NFI LLC Units are owned by NFE or its subsidiaries. Shares of Class B common stock cannot be transferred without transferring an equal number of NFI LLC Units and vice versa.</w:t>
      </w:r>
    </w:p>
    <w:p>
      <w:pPr>
        <w:spacing w:after="0" w:line="77"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our Class B common stock are entitled to one vote per share held of record on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to be voted upon by the shareholders. Holders of our Class A common stock and Class B common stock vote together as a single class on all matters presented to our shareholders for their vote or approval, except that the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amendment of certain provisions of our Certificate of Incorporation or Bylaws that would have a material adverse effect on the rights or preferences of any class or series of stock in relation to other classes or series of shares must be approved by the holders of a majority of the outstanding stock of the class or series affected. The holders of Class B common stock do not have cumulative voting rights in the election of directors.</w:t>
      </w:r>
    </w:p>
    <w:p>
      <w:pPr>
        <w:spacing w:after="0" w:line="7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Dividend and Liquidation Rights</w:t>
      </w:r>
      <w:r>
        <w:rPr>
          <w:rFonts w:ascii="Times New Roman" w:cs="Times New Roman" w:eastAsia="Times New Roman" w:hAnsi="Times New Roman"/>
          <w:sz w:val="18"/>
          <w:szCs w:val="18"/>
          <w:color w:val="auto"/>
        </w:rPr>
        <w:t>. Holders of our Class B common stock do not have any right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unless the dividend consists of our Class B common stock or of rights, options, warrants or other securities convertible or exercisable into or exchangeable for Class B common stock paid proportionally with respect to each outstanding Class B common stock and a dividend consisting of Class A common stock or of rights, options, warrants or other securities convertible or exercisable into or exchangeable for Class A common stock on the same terms is simultaneously paid to the holders of Class A common stock. Holders of our Class B common stock do not have any right to receive a distribution upon our liquidation or winding up.</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Redemption Right</w:t>
      </w:r>
      <w:r>
        <w:rPr>
          <w:rFonts w:ascii="Times New Roman" w:cs="Times New Roman" w:eastAsia="Times New Roman" w:hAnsi="Times New Roman"/>
          <w:sz w:val="18"/>
          <w:szCs w:val="18"/>
          <w:color w:val="auto"/>
        </w:rPr>
        <w:t>. Pursuant to the limited liability company agreement of NFI, each holder of NFI LLC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right to redeem his or her NFI LLC Units, together with an equal number of shares of Class B common stock, for shares of Class A common stock (or cash at the Company’s election, subject to customary conversion rate adjustments for stock splits, stock dividends and reclassifications).</w:t>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The rights with respect to one or more classes or series of preferred stock may be more favorable to the holder(s) thereof than the rights attached to our Class A common stock.</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Duties</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American Stock Transfer &amp; Trust Company, LLC is the registrar and transfer agent for the Class A common stock. We pay all fees charged by the transfer agent for transfers of Class A common stock except the following, which must be paid by our Class A stockholders:</w:t>
      </w:r>
    </w:p>
    <w:p>
      <w:pPr>
        <w:spacing w:after="0" w:line="68"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surety bond premiums to replace lost or stolen certificates, taxes and other governmental charges;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charges for services requested by a holder of a Class A share;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fees or charges.</w:t>
      </w:r>
    </w:p>
    <w:p>
      <w:pPr>
        <w:spacing w:after="0" w:line="117"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There are no charges to our Class A shareholders for disbursements of any dividends. We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Resignation or Removal</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may resign, by notice to us, or be removed by us.</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of Class A common stock and Class B common stock</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may, at our discretion, treat the nominee holder of a share of Class A common stock or Class B common stock as the absolute owner. In that case, the beneficial holder’s rights are limited solely to those that it has against the nominee holder as a result of any agreement between the beneficial owner and the nominee holder.</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Class A common stock and Class B common stock are securities and any transfers are subject to the laws governing the transfer of securities.</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Until a share of Class A common stock or Class B common stock has been transferred on our books, we and the transfer agent may treat the record holder of the Class A common stock or Class B common stock as the absolute owner for all purposes, except as otherwise required by law or stock exchange regulations.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Certificate of Incorporation and Bylaws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Organization and Duration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New Fortress Energy LLC was formed on August 6, 2018. On August 7, 2020, we converted from a Delaware limited liability company named New Fortress Energy LLC to a Delaware corporation named New Fortress Energy Inc. The Company will remain in existence until dissolved in accordance with the DGCL.</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Under our organizational documents, we are permitted to engage in any business activity that lawfully may be conducted by a corporation organized under Delaware law and, in connection therewith, to exercise all of the rights and powers conferred upon us pursuant to the agreements relating to such business activity.</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of Our Organizational Documents</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Amendments to our Certificate of Incorporation may be proposed only by or with the consent of our board of directors. To adopt a proposed amendment to our Certificate of Incorporation or Bylaws, our board of directors is generally required to seek written approval of the holders of the number of shares required to approve the amendment or call a meeting of our stockholders to consider and vote upon the proposed amendment. Except as set forth below, an amendment must be approved by holders of a majority of the outstanding shares.</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Prohibited Amendments. </w:t>
      </w:r>
      <w:r>
        <w:rPr>
          <w:rFonts w:ascii="Times New Roman" w:cs="Times New Roman" w:eastAsia="Times New Roman" w:hAnsi="Times New Roman"/>
          <w:sz w:val="18"/>
          <w:szCs w:val="18"/>
          <w:color w:val="auto"/>
        </w:rPr>
        <w:t>No amendment may be made that would:</w:t>
      </w:r>
    </w:p>
    <w:p>
      <w:pPr>
        <w:spacing w:after="0" w:line="119" w:lineRule="exact"/>
        <w:rPr>
          <w:sz w:val="20"/>
          <w:szCs w:val="20"/>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enlarge the obligations of any stockholder without such stockholder’s consent, unless approved by at least a majority of the type or class of shares so affected;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term of existence of our company.</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provision of our organizational documents preventing the amendments having the effects described in any of the clauses above can be amended upon the approval of holders of at least two-thirds of the outstanding shares.</w:t>
      </w:r>
    </w:p>
    <w:p>
      <w:pPr>
        <w:spacing w:after="0" w:line="52"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 Stockholder Approval. </w:t>
      </w:r>
      <w:r>
        <w:rPr>
          <w:rFonts w:ascii="Times New Roman" w:cs="Times New Roman" w:eastAsia="Times New Roman" w:hAnsi="Times New Roman"/>
          <w:sz w:val="18"/>
          <w:szCs w:val="18"/>
          <w:color w:val="auto"/>
        </w:rPr>
        <w:t>Our board of directors may generally make amendments to our Bylaws,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circumstances to our Certificate of Incorporation, without the approval of any stockholder or assignee to reflect:</w:t>
      </w:r>
    </w:p>
    <w:p>
      <w:pPr>
        <w:spacing w:after="0" w:line="67" w:lineRule="exact"/>
        <w:rPr>
          <w:sz w:val="20"/>
          <w:szCs w:val="20"/>
          <w:color w:val="auto"/>
        </w:rPr>
      </w:pPr>
    </w:p>
    <w:p>
      <w:pPr>
        <w:ind w:left="1000" w:right="29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name, the location of our principal place of our business, our registered agent or our registered office;</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whether or not substantially similar to plan asset regulations currently applied or proposed;</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our board of directors determines to be necessary or appropriate for the authorization of additional securities;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expressly permitted in our organizational documents to be made by our board of directors acting alone;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effected, necessitated or contemplated by a merger agreement that has been approved under the terms of our organizational documents;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that our board of directors determines to be necessary or appropriate for the formation by us of, or our investment in, any corporation, partnership or other entity, as otherwise permitted by our organizational documents;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fiscal year or taxable year and related changes;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amendments substantially similar to any of the matters described in the clauses above.</w:t>
      </w:r>
    </w:p>
    <w:p>
      <w:pPr>
        <w:spacing w:after="0" w:line="117"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addition, our board of directors may make amendments to our Bylaws without the approval of any stockholder or assignee if our board of directors determines that those amendments:</w:t>
      </w:r>
    </w:p>
    <w:p>
      <w:pPr>
        <w:spacing w:after="0" w:line="54" w:lineRule="exact"/>
        <w:rPr>
          <w:sz w:val="20"/>
          <w:szCs w:val="20"/>
          <w:color w:val="auto"/>
        </w:rPr>
      </w:pPr>
    </w:p>
    <w:p>
      <w:pPr>
        <w:ind w:left="4420" w:right="3419" w:hanging="3768"/>
        <w:spacing w:after="0" w:line="532" w:lineRule="auto"/>
        <w:tabs>
          <w:tab w:leader="none" w:pos="100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adversely affect the stockholders in any material respect;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-47625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stockholders;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appropriate for any action taken by our board of directors relating to splits or combinations of shares under the provisions of our Bylaws;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required to effect the intent of the provisions of our organizational documents or are otherwise contemplated by our organizational documents.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Sale or Other Disposition of Assets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Pursuant to the provisions of the DGCL, our board of directors is generally prohibited, without the prior approval of holders of a majority of the total combined voting power of all of our Class A common stock and Class B common stock, from causing us to, among other things, merge, sell, exchange or otherwise dispose of all or substantially all of our assets in a single transaction or a series of related transactions, or approving on our behalf the sale, exchange or other disposition of all or substantially all of our assets, provided that our board of directors may mortgage, pledge, hypothecate or grant a security interest in all or substantially all of our assets without the approval of any stockholder. Our board of directors may also sell all or substantially all of our assets under a foreclosure or other realization upon the encumbrances above without that approval.</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Books and Reports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are required to keep appropriate books of our business at our principal offices. The books are maintained for both tax and financial reporting purposes on an accrual basis. For financial reporting purposes and for tax purposes, our fiscal year is the calendar year.</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Organizational Documents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provisions of our organizational documents that may be deemed to have an anti-takeover effect and may delay, deter or prevent a tender offer or takeover attempt that a stockholder might consider to be in its best interest, including those attempts that might result in a premium over the market price for the Class A common stock held by Class A stockholders.</w:t>
      </w:r>
    </w:p>
    <w:p>
      <w:pPr>
        <w:spacing w:after="0" w:line="7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Interests. </w:t>
      </w:r>
      <w:r>
        <w:rPr>
          <w:rFonts w:ascii="Times New Roman" w:cs="Times New Roman" w:eastAsia="Times New Roman" w:hAnsi="Times New Roman"/>
          <w:sz w:val="18"/>
          <w:szCs w:val="18"/>
          <w:color w:val="auto"/>
        </w:rPr>
        <w:t>Our organizational documents authorize us to issue up to 750 million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common stock, 50 million shares of Class B common stock and 200 million shares of preferred stock for the consideration and on the terms and conditions determined by our board of directors without the approval of the stockholders, subject to the requirements of NASDAQ. These additional shares may be utilized for a variety of corporate purposes, including future offerings to raise additional capital and corporate acquisitions. The existence of authorized but unissued shares could render more difficult or discourage an attempt to obtain control over us by means of a proxy contest, tender offer, merger or otherwise.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Delaware Business Combination Statute—Section 203. </w:t>
      </w:r>
      <w:r>
        <w:rPr>
          <w:rFonts w:ascii="Times New Roman" w:cs="Times New Roman" w:eastAsia="Times New Roman" w:hAnsi="Times New Roman"/>
          <w:sz w:val="18"/>
          <w:szCs w:val="18"/>
          <w:color w:val="auto"/>
        </w:rPr>
        <w:t>We are a corporation organized under Delaware law.</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Some provisions of Delaware law may delay or prevent a transaction that would cause a change in our control.</w:t>
      </w:r>
    </w:p>
    <w:p>
      <w:pPr>
        <w:spacing w:after="0" w:line="9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Section 203 of the DGCL restricts certain business combinations with interested stockholders in certain situations. In general, this statute prohibits a publicly held Delaware corporation from engaging in a business combination with an interested stockholder for a period of three years after the date of the transaction by which that person became an interested stockholder, unless the business combination is approved in a prescribed manner.</w:t>
      </w:r>
    </w:p>
    <w:p>
      <w:pPr>
        <w:spacing w:after="0" w:line="7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We have opted out of Section 203 of the DGCL; however, our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68" w:lineRule="exact"/>
        <w:rPr>
          <w:sz w:val="20"/>
          <w:szCs w:val="20"/>
          <w:color w:val="auto"/>
        </w:rPr>
      </w:pPr>
    </w:p>
    <w:p>
      <w:pPr>
        <w:ind w:left="1000" w:right="3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our voting stock outstanding at the time the transaction commenced, excluding certain shares; or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two-thirds of our outstanding voting stock that is not owned by the interested stockholder.</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restrictions described above do not apply if (a) the Company does not have a class of voting stock that is:</w:t>
      </w:r>
    </w:p>
    <w:p>
      <w:pPr>
        <w:spacing w:after="0" w:line="27" w:lineRule="exact"/>
        <w:rPr>
          <w:sz w:val="20"/>
          <w:szCs w:val="20"/>
          <w:color w:val="auto"/>
        </w:rPr>
      </w:pPr>
    </w:p>
    <w:p>
      <w:pPr>
        <w:jc w:val="both"/>
        <w:ind w:left="300" w:right="299" w:hanging="8"/>
        <w:spacing w:after="0" w:line="252" w:lineRule="auto"/>
        <w:tabs>
          <w:tab w:leader="none" w:pos="52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on a national securities exchange; or (ii) held of record by more than 2,000 stockholders, unless any of the foregoing results from action taken, directly or indirectly, by an interested stockholder or from a transaction in which a person becomes an interested stockholder; or (b) a stockholder becomes an interested stockholder inadvertently and (i) as soon as practicable divests itself of ownership of sufficient shares so that the stockholder ceases to be an interested stockholder; and (ii) would not, at any time within the three year period immediately prior to a business combination between the Company and such stockholder, have been an interested stockholder but for the inadvertent acquisition of ownership.</w:t>
      </w:r>
    </w:p>
    <w:p>
      <w:pPr>
        <w:spacing w:after="0" w:line="8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Our Certificate of Incorporation provides that certain entities controlled by Wesley R. Edens and Randal A. Nardone (the “Consenting Entities”) and NFE SMRS Holdings LLC and any of their respective direct or indirect transferees (except in the context of a public offering), and any group as to which such persons are a party, do not constitute “interested stockholders” for purposes of this provision. Additionally, the “interested stockholders” definition does not include any person whose ownership of shares in excess of 15% of our outstanding voting stock is the result of any action taken solely by us. For purposes of this description only, “voting stock” has the meaning given to it in Section 203 of the DGCL.</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Under certain circumstances, this provision makes it more difficult for a person who is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approved either the business combination or the transaction which resulted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Provisions of Our Organizational Documents. </w:t>
      </w:r>
      <w:r>
        <w:rPr>
          <w:rFonts w:ascii="Times New Roman" w:cs="Times New Roman" w:eastAsia="Times New Roman" w:hAnsi="Times New Roman"/>
          <w:sz w:val="18"/>
          <w:szCs w:val="18"/>
          <w:color w:val="auto"/>
        </w:rPr>
        <w:t>Our Certificate of Incorporation provides that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consist of not fewer than one and not more than fifteen directors as the board of directors may from time to time determine, subject to the consent rights of the Consenting Entities described under “Description of Capital Stock—Consent Rights” below. Our board of directors is divided into three classes that are, as nearly as possible, of equal size. Each class of directors is elected for a three-year term of office, but the terms are staggered so that the term of only one class of directors expires at each annual general meeting.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stockholders, instead of one, will generally be required to effect a change in a majority of our board of directors.</w:t>
      </w:r>
    </w:p>
    <w:p>
      <w:pPr>
        <w:spacing w:after="0" w:line="86"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stockholders to be in their best interest.</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preferred stock may be issued from time to time, and the board of directors is authorized to determine and alter all designations, preferences, rights, powers and duties without limitation. See “Description of Capital Stock—Preferred Stock.”</w:t>
      </w:r>
    </w:p>
    <w:p>
      <w:pPr>
        <w:spacing w:after="0" w:line="6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Ability of Our Stockholders to Act. </w:t>
      </w:r>
      <w:r>
        <w:rPr>
          <w:rFonts w:ascii="Times New Roman" w:cs="Times New Roman" w:eastAsia="Times New Roman" w:hAnsi="Times New Roman"/>
          <w:sz w:val="18"/>
          <w:szCs w:val="18"/>
          <w:color w:val="auto"/>
        </w:rPr>
        <w:t>Our organizational documents do not permit our stockholders to call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meetings, except that if any Consenting Entities or their affiliates collectively own outstanding voting shares that represent a majority of the total combined voting power of all of our outstanding shares of Class A common stock and Class B common stock then entitled to vote at an election of directors, such Consenting Entities may call a special meeting of the stockholders. Special meetings of stockholders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stockholder of record entitled to vote at such meeting not less than 10 or more than 60 days before the date of such meeting, unless otherwise required by law.</w:t>
      </w:r>
    </w:p>
    <w:p>
      <w:pPr>
        <w:spacing w:after="0" w:line="8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organizational documents permit our stockholders to consent in writing to take any action in lieu of taking such action at a duly called annual or special meeting of our stockholders if a consent or consents in writing, setting forth the action so taken, shall be signed by the stockholders having not less than the minimum number of votes that would be necessary to authorize or take such action at a meeting at which all stockholders entitled to vote thereon were present and voted.</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Our organizational documents provide that nominations of persons for election to our board of directors may be made at any annual meeting of our stockholders, or at any special meeting of our stockholders called for the purpose of electing directors, (a) by or at the direction of our board of directors or (b) by certain stockholders. In addition to any other applicable requirements, for business to be properly brought before an annual meeting by a stockholder, such stockholder must have given timely notice thereof in proper written form to our secretary. To be timely, a stockholder’s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stockholders; provided, however, that in the event that the annual meeting is called for a date that is not within 30 days before or after such anniversary date, notice by a stockholder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Removal of Members of Our Board of Directors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 director or the entire board of directors may be removed, with or without cause, at any time, by holders of a majority of the total combined voting power of all of our outstanding shares of Class A common stock and Class B common stock then entitled to vote at an election of directors. The vacancy in the board of directors caused by any such removal will be filled by a vote of the majority of directors then in office.</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will, to the fullest extent permitted by applicable law, be the sole and exclusive forum for:</w:t>
      </w:r>
    </w:p>
    <w:p>
      <w:pPr>
        <w:spacing w:after="0" w:line="68" w:lineRule="exact"/>
        <w:rPr>
          <w:sz w:val="20"/>
          <w:szCs w:val="20"/>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employees or agents to us or our stockholders;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director or officer or other employee of ours arising pursuant to any provision of the DGCL or our organizational documents; or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Bylaws also provide that any person or entity purchasing or otherwise acquiring any interest in our shares will be deemed to have notice of, and to have consented to, this forum selection provision. Although we believe these provisions will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organizational documents has been challenged in legal proceedings, and it is possible that, in connection with one or more actions or proceedings described above, a court could rule that this provision in our Bylaws is inapplicable or unenforceable.</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Consent Rights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So long as the Consenting Entities or their affiliates collectively, directly or indirectly, own at least 30% of the outstanding shares of Class A common stock and Class B common stock, we have agreed not to take, and will take all necessary action to cause our subsidiaries not to take, the following direct or indirect actions (or enter into an agreement to take such actions) without the prior consent of each of the Consenting Entities (so long as such Consenting Entity or its affiliates owns at least one share):</w:t>
      </w:r>
    </w:p>
    <w:p>
      <w:pPr>
        <w:spacing w:after="0" w:line="75" w:lineRule="exact"/>
        <w:rPr>
          <w:sz w:val="20"/>
          <w:szCs w:val="20"/>
          <w:color w:val="auto"/>
        </w:rPr>
      </w:pPr>
    </w:p>
    <w:p>
      <w:pPr>
        <w:ind w:left="1000" w:right="3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through any acquisition, disposition of assets or otherwise, in the nature of our business or operations and our subsidiaries as of February 4, 2019;</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terminating Wesley Edens as our chief executive officer or as Chairman of the Board of Directors and hiring or appointing his successor;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that, if consummated, would constitute a Change of Control (as defined in our Certificate of Incorporation) or entering into any definitive agreement or series of related agreements that govern any transaction or series of related transactions that, if consummated, would result in a Change of Control;</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or decrease in the size of the board of directors, committees of the board of directors and board and committees of our subsidiaries;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voluntary election by us or any of our subsidiaries to liquidate or dissolve or commence bankruptcy or insolvency proceedings or the adoption of a plan with respect to any of the foregoing;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waiver of our organizational documents or any other of our governing documents following the date of our Certificate of Incorporation that materially and adversely affects any Consenting Entity or any of their affiliates.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Under our Certificate of Incorporation, we renounce, to the fullest extent permitted by Section 122(17) of the DGCL, any interest or expectancy of the Company in, or in being offered, an opportunity to participate in, any Business Opportunity. A “Business Opportunity” is any matter, transaction or interest that is presented to, or acquired, created or developed by, or which otherwise comes into the possession of, any of our directors who is not an employee of the Company (collectively, “Covered Persons”), unless such matter, transaction or interest is presented to, or acquired, created or developed by, or otherwise comes into the possession of, a Covered Person solely in such Covered Person’s capacity as a director of the Company.</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To the fullest extent permitted by law, we waive any claim against a Covered Person, and agree to indemnify all Covered Persons against any claim, that is based on fiduciary duties, the corporate opportunity doctrine or any other legal theory which could limit any Covered Person from pursuing or engaging in any Business Opportunity. Directors have no obligation under the Certificate of Incorporation or as a result of any duty expressed or implied by law to present Business Opportunities to the Company that may become available to affiliates of such director. None of the Company, any stockholder or any other person has any rights by virtue of a director’s duties as a director or our organizational documents in any business ventures of any director.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our initial public offering, we entered into a shareholders’ agreement (the “Shareholders’ Agreement”) with New Fortress Energy Holdings LLC, Wesley R. Edens and Randal A. Nardone. In connection with the Exchange Transactions, certain of the former members of New Fortress Energy Holdings LLC signed a joinder and became party to the Shareholders’ Agreement.The Shareholders’ Agreement provides the Consenting Entities or their respective affiliates with the right to designate a certain number of individuals to be nominated for election to our board of directors so long as the Consenting Entities and their respective affiliates collectively beneficially own at least 5% of the outstanding Class A common stock. The Shareholders’ Agreement also provides that the parties to the Shareholders’ Agreement (including certain direct or indirect former members of New Fortress Energy Holdings LLC) (i) shall vote their shares in favor of such nominees and (ii) are entitled to certain registration rights with respect to their Class A common stock. In addition our Certificate of Incorporation provides the Consenting Entities the right to approve certain material transactions so long as the Consenting Entities and their affiliates collectively, directly or indirectly, own at least 30% of the outstanding Class A common stock and Class B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the depositary shares. The applicable prospectus supplement will describe the specific terms of the depositary shares offered by that prospectus supplement and any general terms outlined in this section that will not apply to those depositary shares.</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may issue depositary receipts representing interests in shares of particular series of preferred stock which are called depositary shares. We will deposit the shares of preferred stock of a series which are the subject of depositary shares with a depositary to be named in the applicable prospectus supplement, which will hold the preferred stock for the benefit of the holders of the depositary shares, in accordance with a deposit agreement between the depositary and us. The holders of depositary shares will be entitled to all the rights and preferences of the preferred stock to which the depositary shares relate, including dividend, voting, conversion, redemption and liquidation rights, to the extent of their interests in the preferred stock.</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While the deposit agreement relating to a particular series of preferred stock may have provisions applicable solely to that series of preferred stock, all deposit agreements relating to preferred stock we issue will include the following provisions: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Each time we pay a cash dividend or make any other type of cash distribution with regard to preferred stock of a series, the depositary will distribute to the holder of record of each depositary share relating to that series of preferred stock an amount equal to the dividend or other distribution per depositary share the depositary receives. If there is a distribution of property other than cash, the depositary either will distribute the property to the holders of depositary shares in proportion to the depositary shares held by each of them, or the depositary will, if we approve, sell the property and distribute the net proceeds to the holders of the depositary shares in proportion to the depositary shares held by them.</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Withdrawal of Preferred Stock</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 holder of depositary shares will be entitled to receive, upon surrender of depositary receipts representing depositary shares, the number of whole or fractional shares of the applicable series of preferred stock, and any money or other property, to which the depositary shares relate.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Whenever we redeem shares of preferred stock held by a depositary, the depositary will be required to redeem, on the same redemption date, depositary shares constituting, in total, the number of shares of preferred stock held by the depositary which we redeem, subject to the depositary’s receiving the redemption price of those shares of preferred stock. If fewer than all the depositary shares relating to a series are to be redeemed, the depositary shares to be redeemed will be selected by lot or by another method we determine to be equitable.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Any time we send a notice of meeting or other materials relating to a meeting to the holders of a series of preferred stock to which depositary shares relate, we will provide the depositary with sufficient copies of those materials so they can be sent to all holders of record of the applicable depositary shares, and the depositary will send those materials to the holders of record of the depositary shares on the record date for the meeting. The depositary will solicit voting instructions from holders of depositary shares and will vote or not vote the preferred stock to which the depositary shares relate in accordance with those instructions.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 of each depositary share will be entitled to what the holder of the depositary share would have received if the holder had owned the number of shares (or fraction of a share) of preferred stock which is represented by the depositary share.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shares of a series of preferred stock are convertible into Class A common stock or other of our securities or property, holders of depositary shares relating to that series of preferred stock will, if they surrender depositary receipts representing depositary shares and appropriate instructions to convert them, receive the Class A common stock or other securities or property into which the number of shares (or fractions of shares) of preferred stock to which the depositary shares relate could at the time be converted.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and Termination of a Deposit Agreement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and the depositary may amend a deposit agreement, except that an amendment which materially and adversely affects the rights of holders of depositary shares, or would be materially and adversely inconsistent with the rights granted to the holders of the preferred stock to which they relate, must be approved by holders of at least two-thirds of the outstanding depositary shares. No amendment will impair the right of a holder of depositary shares to surrender the depositary receipts evidencing those depositary shares and receive the preferred stock to which they relate, except as required to comply with law. We may terminate a deposit agreement with the consent of holders of a majority of the depositary shares to which it relates. Upon termination of a deposit agreement, the depositary will make the whole or fractional shares of preferred stock to which the depositary shares issued under the deposit agreement relate available to the holders of those depositary shares. A deposit agreement will automatically terminate if:</w:t>
      </w:r>
    </w:p>
    <w:p>
      <w:pPr>
        <w:spacing w:after="0" w:line="86" w:lineRule="exact"/>
        <w:rPr>
          <w:sz w:val="20"/>
          <w:szCs w:val="20"/>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to which it relates have been redeemed or converted;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made a final distribution to the holders of the depositary shares issued under the deposit agreement upon our liquidation, dissolution or winding up.</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There will be provisions: (1) requiring the depositary to forward to holders of record of depositary shares any reports or communications from us which the depositary receives with respect to the preferred stock to which the depositary shares relate; (2) regarding compensation of the depositary; (3) regarding resignation of the depositary;</w:t>
      </w:r>
    </w:p>
    <w:p>
      <w:pPr>
        <w:spacing w:after="0" w:line="1" w:lineRule="exact"/>
        <w:rPr>
          <w:sz w:val="20"/>
          <w:szCs w:val="20"/>
          <w:color w:val="auto"/>
        </w:rPr>
      </w:pPr>
    </w:p>
    <w:p>
      <w:pPr>
        <w:jc w:val="both"/>
        <w:ind w:left="300" w:right="319" w:hanging="8"/>
        <w:spacing w:after="0" w:line="255" w:lineRule="auto"/>
        <w:tabs>
          <w:tab w:leader="none" w:pos="5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liability and the liability of the depositary under the deposit agreement (usually to failure to act in good faith, gross negligence or willful misconduct); and (5) indemnifying the depositary against certain possible liabilities.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may offer debt securities in one or more series, which may be senior debt securities or subordinated debt securities and which may be convertible into another security.</w:t>
      </w:r>
    </w:p>
    <w:p>
      <w:pPr>
        <w:spacing w:after="0" w:line="5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to be entered into between us and U.S. Bank, National Association, as trustee, or such other trustee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spacing w:after="0" w:line="86"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spacing w:after="0" w:line="68" w:lineRule="exact"/>
        <w:rPr>
          <w:sz w:val="20"/>
          <w:szCs w:val="20"/>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principal amount of the debt securities and any limit on the aggregate principal amount of such series;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subordination provisions for any subordinated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date(s) or method for determining same;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or the method for determining same;</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or exchangeable into other securities and any related terms and conditions;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early repayment provisions;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 principal amount of debt securities payable upon acceleration;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where payment of principal and interest may be made, where debt securities may be presented and where notices or demands upon the company may be made;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the debt securities of the series including such legends as may be required by applicable law;</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whole or in part in the form of one or more global securities and the date as of which the securities are dated if other than the date of original issuance;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such security;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discount or premium, if any, with which the debt securities will be issued;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changes in the defaults and events of default applicable to the particular debt securities being issued;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of each series, if any, and the extent of the guarantees (including provisions relating to seniority, subordination and release of the guarantees), if any;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purchase price for, the principal of and any premium and any interest on, the debt securities will be payable;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 within which, the manner in which and the terms and conditions upon which we or the holders of the debt securities can select the payment currency;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to redeem, purchase or repay debt securities under a sinking fund, amortization or analogous provision;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conditions on the transferability of the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granting special rights to holders of the debt securities upon occurrence of specified events;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relating to compensation or reimbursement of the trustee of the series of debt securities;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80"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series will be described in an accompanying prospectus supplement.</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shall be construed in accordance with and governed by the laws of the State of New York.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may issue warrants for the purchase of shares of our Class A common stock, shares of our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will describe the terms of those warrants, including, when applicable:</w:t>
      </w:r>
    </w:p>
    <w:p>
      <w:pPr>
        <w:spacing w:after="0" w:line="54" w:lineRule="exact"/>
        <w:rPr>
          <w:sz w:val="20"/>
          <w:szCs w:val="20"/>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purchase price and/or exercise price of the warrants may be payable;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offered;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and the amount of securities you will receive upon exercise;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exercise of the warrants and the circumstances, if any, that will cause the warrants to be automatically exercised;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if any, we have to redeem the warrants;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warrants will expire;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warrant agent;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warrants.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issue of warrants will be evidenced by warrant certificates. After warrants expire they will become void.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prospectus supplement may provide for the adjustment of the exercise price of the warrants.</w:t>
      </w:r>
    </w:p>
    <w:p>
      <w:pPr>
        <w:spacing w:after="0" w:line="9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This prospectus also relates to the offer and sale from time to time of up to 149,055,732 shares of Class A common stock by certain of our stockholders identified in the table below, who we refer to in this prospectus as the “selling securityholders.” The selling securityholders identified below may currently hold or acquire at any time Class A common stock in addition to those registered hereby.</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These rules generally attribute beneficial ownership of securities to persons who possess sole or shared voting power or investment power with respect to such securities, and to persons who have a right to acquire such securities, generally within 60 days. Except as otherwise indicated, all persons listed below have sole voting and investment power with respect to the shares beneficially owned by them. Unless otherwise noted, the mailing address of each listed beneficial owner is 111 W. 19th Street, 8th Floor, New York, New York 10011.</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information in the below table (other than the percentages of our outstanding Class A common stock beneficially owned) in respect of the selling securityholders was furnished by or on behalf of the selling securityholders and is as of March 15, 2021. Except as may be noted in this section, none of the selling securityholders has, or within the past three years has had, any material relationship with us or any of our affiliates.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Wesley R. Edens, Randal A. Nardone and all of the entities listed under “Selling Securityholders” in the table below are party to a shareholders’ agreement with us pursuant to which such parties and their respective permitted transferees have the right, in certain circumstances, to require us to register their shares of our Class A common stock under the Securities Act for sale into the public markets.</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No offer or sale under this prospectus may be made by any securityholder unless that holder is listed in the table below, in any supplement to this prospectus or in an amendment to the relevant registration statement that has become effective. We will supplement or amend this prospectus if applicable to include additional selling securityholders upon provision of all required information to us and subject to the terms of any relevant agreement between us and the selling securityholders.</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selling securityholders are not obligated to sell any of the Class A common stock offered by this prospectus. Because the selling securityholders identified in the table may sell some or all of the Class A common stock owned by them that are included in this prospectus, and because there are currently no agreements, arrangements or understandings with respect to the sale of any such Class A common stock, no estimate can be given as to the number of shares covered by this prospectus that will be held by the selling securityholders upon termination of this offering. Therefore, for the purposes of the following table, we have assumed that the selling securityholders will sell all of the Class A common stock beneficially owned by them that are covered by this prospectus, but will not sell any other Class A common stock that they may currently own.</w:t>
      </w:r>
    </w:p>
    <w:p>
      <w:pPr>
        <w:spacing w:after="0" w:line="14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620" w:type="dxa"/>
            <w:vAlign w:val="bottom"/>
            <w:gridSpan w:val="3"/>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00" w:type="dxa"/>
            <w:vAlign w:val="bottom"/>
          </w:tcPr>
          <w:p>
            <w:pPr>
              <w:spacing w:after="0"/>
              <w:rPr>
                <w:sz w:val="13"/>
                <w:szCs w:val="13"/>
                <w:color w:val="auto"/>
              </w:rPr>
            </w:pPr>
          </w:p>
        </w:tc>
        <w:tc>
          <w:tcPr>
            <w:tcW w:w="1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90"/>
        </w:trPr>
        <w:tc>
          <w:tcPr>
            <w:tcW w:w="3400" w:type="dxa"/>
            <w:vAlign w:val="bottom"/>
          </w:tcPr>
          <w:p>
            <w:pPr>
              <w:spacing w:after="0"/>
              <w:rPr>
                <w:sz w:val="16"/>
                <w:szCs w:val="16"/>
                <w:color w:val="auto"/>
              </w:rPr>
            </w:pPr>
          </w:p>
        </w:tc>
        <w:tc>
          <w:tcPr>
            <w:tcW w:w="16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20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Offered Hereby</w:t>
            </w: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After the Offering</w:t>
            </w:r>
          </w:p>
        </w:tc>
        <w:tc>
          <w:tcPr>
            <w:tcW w:w="0" w:type="dxa"/>
            <w:vAlign w:val="bottom"/>
          </w:tcPr>
          <w:p>
            <w:pPr>
              <w:spacing w:after="0"/>
              <w:rPr>
                <w:sz w:val="1"/>
                <w:szCs w:val="1"/>
                <w:color w:val="auto"/>
              </w:rPr>
            </w:pPr>
          </w:p>
        </w:tc>
      </w:tr>
      <w:tr>
        <w:trPr>
          <w:trHeight w:val="50"/>
        </w:trPr>
        <w:tc>
          <w:tcPr>
            <w:tcW w:w="3400" w:type="dxa"/>
            <w:vAlign w:val="bottom"/>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400" w:type="dxa"/>
            <w:vAlign w:val="bottom"/>
          </w:tcPr>
          <w:p>
            <w:pPr>
              <w:spacing w:after="0"/>
              <w:rPr>
                <w:sz w:val="24"/>
                <w:szCs w:val="24"/>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jc w:val="right"/>
              <w:ind w:right="33"/>
              <w:spacing w:after="0" w:line="277"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2"/>
                <w:szCs w:val="12"/>
                <w:b w:val="1"/>
                <w:bCs w:val="1"/>
                <w:color w:val="auto"/>
              </w:rPr>
              <w:t>(1)</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jc w:val="right"/>
              <w:ind w:right="53"/>
              <w:spacing w:after="0" w:line="277"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98"/>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Selling Securityholders</w:t>
            </w:r>
          </w:p>
        </w:tc>
        <w:tc>
          <w:tcPr>
            <w:tcW w:w="920" w:type="dxa"/>
            <w:vAlign w:val="bottom"/>
            <w:tcBorders>
              <w:top w:val="single" w:sz="8" w:color="auto"/>
              <w:bottom w:val="single" w:sz="8" w:color="CCEEFF"/>
            </w:tcBorders>
            <w:shd w:val="clear" w:color="auto" w:fill="CCEEFF"/>
          </w:tcPr>
          <w:p>
            <w:pPr>
              <w:spacing w:after="0"/>
              <w:rPr>
                <w:sz w:val="24"/>
                <w:szCs w:val="24"/>
                <w:color w:val="auto"/>
              </w:rPr>
            </w:pP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CCEEFF"/>
            </w:tcBorders>
            <w:shd w:val="clear" w:color="auto" w:fill="CCEEFF"/>
          </w:tcPr>
          <w:p>
            <w:pPr>
              <w:spacing w:after="0"/>
              <w:rPr>
                <w:sz w:val="24"/>
                <w:szCs w:val="24"/>
                <w:color w:val="auto"/>
              </w:rPr>
            </w:pP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146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800" w:type="dxa"/>
            <w:vAlign w:val="bottom"/>
            <w:tcBorders>
              <w:top w:val="single" w:sz="8" w:color="auto"/>
              <w:bottom w:val="single" w:sz="8" w:color="CCEEFF"/>
            </w:tcBorders>
            <w:shd w:val="clear" w:color="auto" w:fill="CCEEFF"/>
          </w:tcPr>
          <w:p>
            <w:pPr>
              <w:spacing w:after="0"/>
              <w:rPr>
                <w:sz w:val="24"/>
                <w:szCs w:val="24"/>
                <w:color w:val="auto"/>
              </w:rPr>
            </w:pP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spacing w:after="0" w:line="296" w:lineRule="exact"/>
              <w:rPr>
                <w:sz w:val="20"/>
                <w:szCs w:val="20"/>
                <w:color w:val="auto"/>
              </w:rPr>
            </w:pPr>
            <w:r>
              <w:rPr>
                <w:rFonts w:ascii="Times New Roman" w:cs="Times New Roman" w:eastAsia="Times New Roman" w:hAnsi="Times New Roman"/>
                <w:sz w:val="18"/>
                <w:szCs w:val="18"/>
                <w:color w:val="auto"/>
              </w:rPr>
              <w:t>Fortress Equity Partners GP LLC</w:t>
            </w:r>
            <w:r>
              <w:rPr>
                <w:rFonts w:ascii="Times New Roman" w:cs="Times New Roman" w:eastAsia="Times New Roman" w:hAnsi="Times New Roman"/>
                <w:sz w:val="29"/>
                <w:szCs w:val="29"/>
                <w:color w:val="auto"/>
                <w:vertAlign w:val="superscript"/>
              </w:rPr>
              <w:t>(2)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13,399,317</w:t>
            </w: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6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13,399,317</w:t>
            </w:r>
          </w:p>
        </w:tc>
        <w:tc>
          <w:tcPr>
            <w:tcW w:w="20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400" w:type="dxa"/>
            <w:vAlign w:val="bottom"/>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NFE SMRS Holdings LLC</w:t>
            </w:r>
            <w:r>
              <w:rPr>
                <w:rFonts w:ascii="Times New Roman" w:cs="Times New Roman" w:eastAsia="Times New Roman" w:hAnsi="Times New Roman"/>
                <w:sz w:val="29"/>
                <w:szCs w:val="29"/>
                <w:color w:val="auto"/>
                <w:vertAlign w:val="superscript"/>
              </w:rPr>
              <w:t>(3)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34,701,279</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6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34,701,279</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9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spacing w:after="0" w:line="296" w:lineRule="exact"/>
              <w:rPr>
                <w:sz w:val="20"/>
                <w:szCs w:val="20"/>
                <w:color w:val="auto"/>
              </w:rPr>
            </w:pPr>
            <w:r>
              <w:rPr>
                <w:rFonts w:ascii="Times New Roman" w:cs="Times New Roman" w:eastAsia="Times New Roman" w:hAnsi="Times New Roman"/>
                <w:sz w:val="18"/>
                <w:szCs w:val="18"/>
                <w:color w:val="auto"/>
              </w:rPr>
              <w:t>Wesley R. Edens</w:t>
            </w:r>
            <w:r>
              <w:rPr>
                <w:rFonts w:ascii="Times New Roman" w:cs="Times New Roman" w:eastAsia="Times New Roman" w:hAnsi="Times New Roman"/>
                <w:sz w:val="29"/>
                <w:szCs w:val="29"/>
                <w:color w:val="auto"/>
                <w:vertAlign w:val="superscript"/>
              </w:rPr>
              <w:t>(4)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72,627,776</w:t>
            </w: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66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72,627,776</w:t>
            </w:r>
          </w:p>
        </w:tc>
        <w:tc>
          <w:tcPr>
            <w:tcW w:w="20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400" w:type="dxa"/>
            <w:vAlign w:val="bottom"/>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Randal A. Nardone</w:t>
            </w:r>
            <w:r>
              <w:rPr>
                <w:rFonts w:ascii="Times New Roman" w:cs="Times New Roman" w:eastAsia="Times New Roman" w:hAnsi="Times New Roman"/>
                <w:sz w:val="29"/>
                <w:szCs w:val="29"/>
                <w:color w:val="auto"/>
                <w:vertAlign w:val="superscript"/>
              </w:rPr>
              <w:t>(5)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26,196,526</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6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26,196,526</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Christopher S. Guinta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279,518</w:t>
            </w: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279,518</w:t>
            </w:r>
          </w:p>
        </w:tc>
        <w:tc>
          <w:tcPr>
            <w:tcW w:w="200" w:type="dxa"/>
            <w:vAlign w:val="bottom"/>
          </w:tcPr>
          <w:p>
            <w:pPr>
              <w:spacing w:after="0"/>
              <w:rPr>
                <w:sz w:val="22"/>
                <w:szCs w:val="22"/>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Desmond Iain Catterall</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69,841</w:t>
            </w: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69,841</w:t>
            </w:r>
          </w:p>
        </w:tc>
        <w:tc>
          <w:tcPr>
            <w:tcW w:w="2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David J. Grain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114,294</w:t>
            </w: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114,294</w:t>
            </w:r>
          </w:p>
        </w:tc>
        <w:tc>
          <w:tcPr>
            <w:tcW w:w="200" w:type="dxa"/>
            <w:vAlign w:val="bottom"/>
          </w:tcPr>
          <w:p>
            <w:pPr>
              <w:spacing w:after="0"/>
              <w:rPr>
                <w:sz w:val="22"/>
                <w:szCs w:val="22"/>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3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 William Griffin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333,429</w:t>
            </w: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333,429</w:t>
            </w:r>
          </w:p>
        </w:tc>
        <w:tc>
          <w:tcPr>
            <w:tcW w:w="2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John J. Mack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1,178,013</w:t>
            </w: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1,178,013</w:t>
            </w:r>
          </w:p>
        </w:tc>
        <w:tc>
          <w:tcPr>
            <w:tcW w:w="200" w:type="dxa"/>
            <w:vAlign w:val="bottom"/>
          </w:tcPr>
          <w:p>
            <w:pPr>
              <w:spacing w:after="0"/>
              <w:rPr>
                <w:sz w:val="22"/>
                <w:szCs w:val="22"/>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3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Katherine E. Wanner</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77,129</w:t>
            </w: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77,129</w:t>
            </w:r>
          </w:p>
        </w:tc>
        <w:tc>
          <w:tcPr>
            <w:tcW w:w="2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Matthew Wilkinson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78,610</w:t>
            </w: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78,610</w:t>
            </w:r>
          </w:p>
        </w:tc>
        <w:tc>
          <w:tcPr>
            <w:tcW w:w="200" w:type="dxa"/>
            <w:vAlign w:val="bottom"/>
          </w:tcPr>
          <w:p>
            <w:pPr>
              <w:spacing w:after="0"/>
              <w:rPr>
                <w:sz w:val="22"/>
                <w:szCs w:val="22"/>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-2639695</wp:posOffset>
            </wp:positionV>
            <wp:extent cx="120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-2639695</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-2639695</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-2639695</wp:posOffset>
            </wp:positionV>
            <wp:extent cx="120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-2639695</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137160</wp:posOffset>
            </wp:positionV>
            <wp:extent cx="8229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41" w:lineRule="exact"/>
        <w:rPr>
          <w:sz w:val="20"/>
          <w:szCs w:val="20"/>
          <w:color w:val="auto"/>
        </w:rPr>
      </w:pPr>
    </w:p>
    <w:p>
      <w:pPr>
        <w:ind w:left="640" w:hanging="348"/>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one percent of shares outstanding. See footnote (1).</w:t>
      </w:r>
    </w:p>
    <w:p>
      <w:pPr>
        <w:spacing w:after="0" w:line="42" w:lineRule="exact"/>
        <w:rPr>
          <w:sz w:val="20"/>
          <w:szCs w:val="20"/>
          <w:color w:val="auto"/>
        </w:rPr>
      </w:pPr>
    </w:p>
    <w:p>
      <w:pPr>
        <w:ind w:left="640" w:hanging="348"/>
        <w:spacing w:after="0"/>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15, 2021, we had 175,320,414 shares of Class A common stock outstanding.</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40" w:right="299" w:hanging="348"/>
        <w:spacing w:after="0" w:line="233"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Fortress Equity Partners GP LLC (“Fortress Equity GP”) beneficially owns 13,399,317 shares of our Class A common stock. Fortress Operating Entity I LP (“FOE I” and, together with Fortress Equity GP, the “Fortress Parties”) is the sole member of Fortress Equity GP. The address for the Fortress Parties is c/o Fortress Investment Group LLC, 1345 Avenue of the Americas, 46th Floor, New York, NY 10105, Attention: Michael Cohn. Messers Edens and Nardone are officers of FOE I and each disclaim beneficial ownership of the shares of Class A common stock beneficially owned by Fortress Equity GP.</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 Mountain Partners LLC is the manager of NFE SMRS Holdings LLC and Mr. Rotolo and Mr. Thomson are the managers of Great Mountain Partners LLC. Mr. Rotolo and Mr. Thomson may be deemed to have shared voting and investment power over the shares of Class A common stock held by NFE SMRS Holdings LLC. The address of NFE SMRS Holdings LLC is 10 Station Place, P.O. Box 233, Norfolk, Connecticut 06058.</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55,015,024 shares of Class A common stock held by Mr. Edens and 17,612,751 shares of Class A common stock held by WRE 2012 Trust LLC (“WRE Trust”), a limited liability company organized under the laws of the State of Delaware. Mr. Edens has the sole right to receive or direct the receipt of dividends on, and the proceeds from, the sale of all such shares. NFE WE LLC and NFE RN LLC, each controlled by Mr. Edens together with Mr. Nardone, have the right to appoint six of the eight members to the Company’s board of directors.</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Nardone has the sole right to receive or direct the receipt of dividends on, and the proceeds from, the sale of all such shares of Class A common stock. NFE WE LLC and NFE RN LLC, each controlled by Mr. Nardone together with Mr. Edens, have the right to appoint six of the eight members to the Company’s board of directors.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OPERATING AGREEMENT AND PROVISIONS OF DELAWARE LAW</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Organization and Duration</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limited liability company was formed on August 6, 2018, and will remain in existence until dissolved in accordance with our operating agreement.</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Under our operating agreement, we are permitted to engage in any business activity that lawfully may be conducted by a limited liability company organized under Delaware law and, in connection therewith, to exercise all of the rights and powers conferred upon us pursuant to the agreements relating to such business activity.</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Agreement to be Bound by our Operating Agreement; Power of Attorney</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By purchasing our Class A common stock, you will be admitted as a member of our limited liability company and will be deemed to have agreed to be bound by the terms of our operating agreement. Pursuant to this agreement, each Class A stockholder and each person who acquires Class A common stock from a Class A stockholder grants to certain of our officers (and, if appointed, a liquidator) a power of attorney to, among other things, execute and file documents required for our qualification, continuance or dissolution. The power of attorney also grants certain of our officers the authority to make certain amendments to, and to make consents and waivers under and in accordance with, our operating agreement.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of Our Operating Agreement</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Amendments to our operating agreement may be proposed only by or with the consent of our board of directors. To adopt a proposed amendment, our board of directors is required to seek written approval of the holders of the number of shares required to approve the amendment or call a meeting of our shareholders to consider and vote upon the proposed amendment. Except as set forth below, an amendment must be approved by holders of a majority of the outstanding shares.</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Prohibited Amendments</w:t>
      </w:r>
      <w:r>
        <w:rPr>
          <w:rFonts w:ascii="Times New Roman" w:cs="Times New Roman" w:eastAsia="Times New Roman" w:hAnsi="Times New Roman"/>
          <w:sz w:val="18"/>
          <w:szCs w:val="18"/>
          <w:color w:val="auto"/>
        </w:rPr>
        <w:t>. No amendment may be made that would:</w:t>
      </w:r>
    </w:p>
    <w:p>
      <w:pPr>
        <w:spacing w:after="0" w:line="119" w:lineRule="exact"/>
        <w:rPr>
          <w:sz w:val="20"/>
          <w:szCs w:val="20"/>
          <w:color w:val="auto"/>
        </w:rPr>
      </w:pPr>
    </w:p>
    <w:p>
      <w:pPr>
        <w:ind w:left="1000" w:right="31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enlarge the obligations of any shareholder without such shareholder’s consent, unless approved by at least a majority of the type or class of shares so affected;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we are not dissolved upon an election to dissolve our limited liability company by our board of directors that is approved by holders of a majority of the outstanding shares;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term of existence of our company;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any person the right to dissolve our limited liability company other than our board of directors’ right to dissolve our limited liability company with the approval of holders of a majority of the total combined voting power of our outstanding shares.</w:t>
      </w:r>
    </w:p>
    <w:p>
      <w:pPr>
        <w:spacing w:after="0" w:line="68"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provision of our operating agreement preventing the amendments having the effects described in any of the clauses above can be amended upon the approval of holders of at least two-thirds of the outstanding shares.</w:t>
      </w:r>
    </w:p>
    <w:p>
      <w:pPr>
        <w:spacing w:after="0" w:line="52" w:lineRule="exact"/>
        <w:rPr>
          <w:sz w:val="20"/>
          <w:szCs w:val="20"/>
          <w:color w:val="auto"/>
        </w:rPr>
      </w:pPr>
    </w:p>
    <w:p>
      <w:pPr>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No Shareholder Approval</w:t>
      </w:r>
      <w:r>
        <w:rPr>
          <w:rFonts w:ascii="Times New Roman" w:cs="Times New Roman" w:eastAsia="Times New Roman" w:hAnsi="Times New Roman"/>
          <w:sz w:val="18"/>
          <w:szCs w:val="18"/>
          <w:color w:val="auto"/>
        </w:rPr>
        <w:t>. Our board of directors may generally make amendments to our operating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the approval of any shareholder or assignee to reflect:</w:t>
      </w:r>
    </w:p>
    <w:p>
      <w:pPr>
        <w:spacing w:after="0" w:line="52" w:lineRule="exact"/>
        <w:rPr>
          <w:sz w:val="20"/>
          <w:szCs w:val="20"/>
          <w:color w:val="auto"/>
        </w:rPr>
      </w:pPr>
    </w:p>
    <w:p>
      <w:pPr>
        <w:ind w:left="1000" w:right="29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name, the location of our principal place of our business, our registered agent or our registered office;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admission, substitution, withdrawal or removal of shareholders in accordance with our operating agreement;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our company or any of its subsidiaries into, or the conveyance of all of our assets to, a newly-formed entity if the sole purpose of that merger or conveyance is to effect a mere change in our legal form into another limited liability entity;</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that our board of directors determines to be necessary or appropriate for us to qualify or continue our qualification as a company in which our members have limited liability under the laws of any state;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legal form from a limited liability company to a corporation;</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or ERISA, whether or not substantially similar to plan asset regulations currently applied or proposed;</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our board of directors determines to be necessary or appropriate for the authorization of additional securities;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expressly permitted in our operating agreement to be made by our board of directors acting alone;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effected, necessitated or contemplated by a merger agreement that has been approved under the terms of our operating agreement;</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that our board of directors determines to be necessary or appropriate for the formation by us of, or our investment in, any corporation, partnership or other entity, as otherwise permitted by our operating agreement;</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fiscal year or taxable year and related changes;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amendments substantially similar to any of the matters described in the clauses above.</w:t>
      </w:r>
    </w:p>
    <w:p>
      <w:pPr>
        <w:spacing w:after="0" w:line="117"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addition, our board of directors may make amendments to our operating agreement without the approval of any shareholder or assignee if our board of directors determines that those amendments:</w:t>
      </w:r>
    </w:p>
    <w:p>
      <w:pPr>
        <w:spacing w:after="0" w:line="54" w:lineRule="exact"/>
        <w:rPr>
          <w:sz w:val="20"/>
          <w:szCs w:val="20"/>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adversely affect the shareholders in any material respect;</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shareholders;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appropriate for any action taken by our board of directors relating to splits or combinations of shares under the provisions of our operating agreement;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required to effect the intent expressed in this prospectus or the intent of the provisions of our operating agreement or are otherwise contemplated by our operating agreement.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and Dissolution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will continue as a limited liability company until terminated under our operating agreement. We will dissolve upon: (1) the election of our board of directors to dissolve us, if approved by holders of a majority of our outstanding shares; (2) the sale, exchange or other disposition of all or substantially all of our assets and those of our subsidiaries; (3) the entry of a decree of judicial dissolution of our limited liability company; or (4) at any time that we no longer have any shareholders, unless our business is continued in accordance with the Delaware LLC Act.</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Books and Reports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We are required to keep appropriate books of our business at our principal offices. The books are maintained for both tax and financial reporting purposes on an accrual basis. For financial reporting purposes and for tax purposes, our fiscal year is the calendar year. Our operating agreement provides that our shareholders have the right, subject to certain restrictions stated therein, to obtain access to certain of our books and records upon reasonable demand for any purpose reasonably related to such shareholder’s interest as a shareholder;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we are only be required to provide access to our books and records to shareholders who have held over 1% of our total outstanding shares for a period of at least one year from the date of such request. We use reasonable efforts to furnish to you an annual report containing audited consolidated financial statements and a report on those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consolidated financial statements by our independent public accountants. We are be deemed to have made any such report available if we file such report with the SEC on EDGAR or make the report available on a publicly available website that we maintain.</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Operating Agreement</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provisions of our operating agreement that may be deemed to have an anti-takeover effect and may delay, deter or prevent a tender offer or takeover attempt that a shareholder might consider to be in its best interest, including those attempts that might result in a premium over the market price for the Class A common stock held by Class A stockholders.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Issuance of Additional Interests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operating agreement authorizes us to issue an unlimited number of additional limited liability company interests for the consideration and on the terms and conditions determined by our board of directors without the approval of the shareholders, subject to the requirements of NASDAQ. These additional limited liability company interests may be utilized for a variety of corporate purposes, including future offerings to raise additional capital and corporate acquisitions. The existence of authorized but unissued limited liability company interests could render more difficult or discourage an attempt to obtain control over us by means of a proxy contest, tender offer, merger or otherwise.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Delaware Business Combination Statute—Section 203</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are a limited liability company organized under Delaware law. Some provisions of Delaware law may delay or prevent a transaction that would cause a change in our control.</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Section 203 of the DGCL, which restricts certain business combinations with interested shareholders in certain situations, does not apply to limited liability companies unless they elect to utilize it. Our operating agreement does not currently elect to have Section 203 of the DGCL apply to us. In general, this statute prohibits a publicly held Delaware corporation from engaging in a business combination with an interested shareholder for a period of three years after the date of the transaction by which that person became an interested shareholder, unless the business combination is approved in a prescribed manner.</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Provisions of Our Operating Agreement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operating agreement provides that our board shall consist of not fewer than three and not more than nine directors as the board of directors may from time to time determine, subject to the consent rights of the Consenting Entities described under “—Consent Rights” below. Our board of directors is divided into three classes that are, as nearly as possible, of equal size. Each class of directors is elected for a three-year term of office, but the terms are staggered so that the term of only one class of directors expires at each annual general meeting.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shareholders, instead of one, will generally be required to effect a change in a majority of our board of directors.</w:t>
      </w:r>
    </w:p>
    <w:p>
      <w:pPr>
        <w:spacing w:after="0" w:line="86"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shareholders to be in their best interest.</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addition, our operating agreement provides that any director or the entire board of directors may be removed, with or without cause, at any time, by holders of a majority of the total combined voting power of all of our outstanding Class A common stock and Class B common stock then entitled to vote at an election of directors.</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Pursuant to our operating agreement, preferred shares may be issued from time to time, and the board of directors is authorized to determine and alter all designations, preferences, rights, powers and duties without limitation. See “Description of Shares—Preferred Shares.” Our operating agreement does not provide our shareholders with the ability to call a special meeting of the shareholders.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Ability of Our Shareholders to Act</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operating agreement does not permit our shareholders to call special shareholders meetings. Special meetings of shareholders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shareholder of record entitled to vote at such meeting not less than 10 or more than 60 days before the date of such meeting, unless otherwise required by law.</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operating agreement also prohibits our shareholders from consenting in writing to take any action in lieu of taking such action at a duly called annual or special meeting of our shareholders.</w:t>
      </w:r>
    </w:p>
    <w:p>
      <w:pPr>
        <w:spacing w:after="0" w:line="5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Our operating agreement provides that nominations of persons for election to our board of directors may be made at any annual meeting of our shareholders, or at any special meeting of our shareholders called for the purpose of electing directors, (a) by or at the direction of our board of directors or (b) by certain shareholders. In addition to any other applicable requirements, for business to be properly brought before an annual meeting by a shareholder, such shareholder must have given timely notice thereof in proper written form to our secretary. To be timely, a shareholder’s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shareholders;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the annual meeting is called for a date that is not within 30 days before or after such anniversary date, notice by a shareholder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3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Removal of Members of Our Board of Directors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 director or the entire board of directors may be removed, with or without cause, at any time, by holders of at least 80% of the total combined voting power of all of our outstanding Class A common stock and Class B common stock then entitled to vote at an election of directors. The vacancy in the board of directors caused by any such removal would be filled by a vote of the majority of directors then in office.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Limited Liability</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Delaware LLC Act provides that a member who receives a distribution from a Delaware limited liability company and knew at the time of the distribution that the distribution was in violation of the Delaware LLC Act shall be liable to the company for the amount of the distribution for three years. Under the Delaware LLC Act, a limited liability company may not make a distribution to a member if, after the distribution, all liabilities of the company, other than liabilities to members on account of their shares and liabilities for which the recourse of creditors is limited to specific property of the company, would exceed the fair value of the assets of the company. For the purpose of determining the fair value of the assets of a company, the Delaware LLC Act provides that the fair value of property subject to liability for which recourse of creditors is limited shall be included in the assets of the company only to the extent that the fair value of that property exceeds the nonrecourse liability.</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Our operating agreement provides that unless we consent in writing to the selection of an alternative forum, the Court of Chancery of the State of Delaware will, to the fullest extent permitted by applicable law, be the sole and exclusive forum for:</w:t>
      </w:r>
    </w:p>
    <w:p>
      <w:pPr>
        <w:spacing w:after="0" w:line="68" w:lineRule="exact"/>
        <w:rPr>
          <w:sz w:val="20"/>
          <w:szCs w:val="20"/>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employees or agents to us or our shareholders;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29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director or officer or other employee of ours arising pursuant to any provision of the Delaware LLC Act or our operating agreement; or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exclusive forum provision would not apply to suits brought to enforce any liability or duty created by the Securities Act of 1933, as amended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operating agreement also provides that any person or entity purchasing or otherwise acquiring any interest in our shares is deemed to have notice of, and to have consented to, this forum selection provision. Although we believe these provisions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operating agreements or certificates of incorporation has been challenged in legal proceedings, and it is possible that, in connection with one or more actions or proceedings described above, a court could rule that this provision in our operating agreement is inapplicable or unenforceable.</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Consent Rights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So long as the Consenting Entities and their affiliates collectively, directly or indirectly, own at least 30% of the outstanding Class A common stock and Class B common stock, we have agreed not to take, and will take all necessary action to cause our subsidiaries not to take, the following direct or indirect actions (or enter into an agreement to take such actions) without the prior consent of each of the Consenting Entities (so long as such Consenting Entity or its Affiliates owns at least one share):</w:t>
      </w:r>
    </w:p>
    <w:p>
      <w:pPr>
        <w:spacing w:after="0" w:line="75" w:lineRule="exact"/>
        <w:rPr>
          <w:sz w:val="20"/>
          <w:szCs w:val="20"/>
          <w:color w:val="auto"/>
        </w:rPr>
      </w:pPr>
    </w:p>
    <w:p>
      <w:pPr>
        <w:ind w:left="1000" w:right="31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through any acquisition, disposition of assets or otherwise, in the nature of our business or operations and our subsidiaries as of the date of our operating agreement;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terminating Wesley Edens as our chief executive officer or as Chairman of the Board of Directors and hiring or appointing his successor;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that, if consummated, would constitute a Change of Control (as defined in our operating agreement) or entering into any definitive agreement or series of related agreements that govern any transaction or series of related transactions that, if consummated, would result in a Change of Control;</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or decrease in the size of the Board of Directors, committees of the Board of Directors and board and committees of our subsidiaries;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voluntary election by us or any of our subsidiaries to liquidate or dissolve or commence bankruptcy or insolvency proceedings or the adoption of a plan with respect to any of the foregoing; and</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waiver of our operating agreement or any other of our governing documents following the date of our operating agreement that materially and adversely affects any Consenting Entity or any of their affiliates.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our operating agreement, to the extent permitted by law:</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NFEH and its respective affiliates have the right to, and have no duty to abstain from, exercising such right to, engage or invest in the same or similar business as us, do business with any of our clients, customers or vendors or employ or otherwise engage any of our officers, directors or employees;</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NFEH and its respective affiliates or any of their officers, directors or employees acquire knowledge of a potential transaction that could be a corporate opportunity, it has no duty to offer such corporate opportunity to us, our Class A shareholders or affiliates;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renounced any interest or expectancy in, or in being offered an opportunity to participate in, such corporate opportunities;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of our directors and officers who is also a director, officer or employee of NFEH and their respective affiliates acquire knowledge of a corporate opportunity or is offered a corporate opportunity,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knowledge was not acquired solely in such person’s capacity as our director or officer and such person acted in good faith, then such person is deemed to have fully satisfied such person’s fiduciary duty and is not liable to us if NFEH and their respective affiliates pursues or acquires the corporate opportunity or if such person did not present the corporate opportunity to 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or the selling securityholders may sell the securities being offered hereby in one or more of the following ways from time to time:</w:t>
      </w:r>
    </w:p>
    <w:p>
      <w:pPr>
        <w:spacing w:after="0" w:line="54" w:lineRule="exact"/>
        <w:rPr>
          <w:sz w:val="20"/>
          <w:szCs w:val="20"/>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underwriters for resale to purchasers;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 dealers to purchasers;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 market” offerings (as defined in Rule 415 under the Securities Act of 1933);</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a prospectus supplement.</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identify the specific plan of distribution in a prospectus supplement, including:</w:t>
      </w:r>
    </w:p>
    <w:p>
      <w:pPr>
        <w:spacing w:after="0" w:line="117" w:lineRule="exact"/>
        <w:rPr>
          <w:sz w:val="20"/>
          <w:szCs w:val="20"/>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underwriters, dealers, agents or direct purchasers and their compensation;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net proceeds we will receive from the sale;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obligations to take the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underwriters’ obligations to take the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selling securityholders, if applicable;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Underwriters, dealers and agents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we use underwriters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If we use an underwriting syndicate, the managing underwriter(s) will be specified on the cover of the prospectus supplement. If we use underwriters for a sale of securities, the underwriters will acquire the securities for their own accounts. The underwriters may resell the securities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dealers are used in an offering, we may sell the securities to the dealers as principals. The dealers then may resell the securities to the public at varying prices which they determine at the time of resale. The names of the dealers and the terms of the transaction will be specified in a prospectus supplement.</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agents are used in an offering, the names of the agents and the terms of the agency will be specified in a prospectus supplement. Unless otherwise indicated in a prospectus supplement, the agents will act on a best-efforts basis for the period of their appointment.</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Dealers and agents named in a prospectus supplement may be underwriters as defined in the Securities Act of 1933 and any discounts or commissions they receive from us and any profit on their resale of the securities may be treated as underwriting discounts and commissions under the Securities Act of 1933. We will identify in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applicable prospectus supplement any underwriters, dealers or agents and will describe their compensation. We may have agreements with the underwriters, dealers and agents to indemnify them against specified civil liabilities, including liabilities under the Securities Act of 1933.</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Underwriters, dealers or agents and their associates may engage in other transactions with and perform other services for us in the ordinary course of business.</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so indicated in a prospectus supplement, we will authorize underwriters or other persons acting as our agents to solicit offers by institutional investors to purchase securities pursuant to contracts providing for payment and delivery on a future date. We may enter contracts with commercial and savings banks, insurance companies, pension funds, investment companies, educational and charitable institutions and other institutional investors. The obligations of any institutional investor will be subject to the condition that its purchase of the offered securities will not be illegal at the time of delivery. The underwriters and other agents will not be responsible for the validity or performance of contracts.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 sales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sell securities directly to one or more purchasers without using underwriters or agents.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At-the-market offerings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We may also sell the securities offered by any applicable prospectus supplement in “at-the-market offerings” within the meaning of Rule 415 of the Securities Act of 1933, to or through a market maker or into an existing trading market, on an exchange or otherwise.</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Trading markets and listing of securities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each class or series of securities will be a new issue with no established trading market, other than our Class A common stock, which is listed on NASDAQ Global Select Market.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Stabilization activities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underwriters’ option to purchase additional securities, if any, from us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8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NASDAQ Global Select Market or otherwise and, if commenced, may be discontinued at any time.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NON-U.S. HOLDERS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9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following is a summary of U.S. federal income considerations generally applicable to non-U.S. holders (as defined below) of the ownership and disposition of our Class A common stock. The following summary is based on current provisions of the Internal Revenue Code of 1986, as amended, or the Code, Treasury regulations and judicial and administrative authority, all of which are subject to change or differing interpretation, possibly with retroactive effect. State, local, foreign, and estate tax consequences are not summarized, nor are tax consequences to special classes of investors or investors subject to special rules, including, but not limited to, certain former citizens and former long-term residents of the United States, a “controlled foreign corporation,” a “passive foreign investment company,” a corporation that accumulates earnings to avoid U.S. federal income tax, a partnership or other “pass through” entity or an investor in any such entity, a holder who is subject to special exemptions or other special rules under the Foreign Investment in Real Property Tax Act of 1980 (“FIRPTA”), persons who own (actually or constructively) more than 5% of our Class A common stock, a tax-exempt organization, a bank or other financial institution, a broker, dealer or trader in securities, commodities or currencies, a person holding our Class A common stock as part of a hedging, conversion, straddle, constructive sale or other risk reduction transaction or an insurance company. Tax consequences may vary depending upon the particular status of an investor. The summary is limited to non-U.S. holders who purchase our Class A common stock for cash pursuant to an offering under this prospectus and who hold our Class A common stock as a “capital asset“(generally, property held for investment). Each potential investor should consult its tax advisor as to the U.S. federal, state, local, foreign and any other tax consequences of the purchase, ownership and disposition of our Class A common stock.</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For purposes of this summary, the term “non-U.S. holder” means a beneficial owner of our Class A common stock (other than a partnership or other pass-through entity) that is not: a citizen or individual resident of the United States; a corporation (or other entity treated as a corporation for U.S. federal income tax purposes) organized in or under the laws of the United States, any state thereof or the District of Columbia; an estate the income of which is subject to U.S. federal income taxation regardless of its source; or 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a partnership (including any entity or arrangement treated as a partnership for U.S. federal income tax purposes) holds our Class A common stock, the tax treatment of a partner in the partnership will generally depend upon the status of the partner and the activities of the partnership. If you are a partnership or a partner in a partnership holding our Class A common stock, you should consult your tax advisor as to the particular U.S. federal income tax consequences applicable to you.</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Distributions with respect to our Class A common stock will be treated as dividends to the extent paid from our current or accumulated earnings and profits as determined for U.S. federal income tax purposes. If a distribution exceeds our current and accumulated earnings and profits, then subject to the next sentence, the excess will be treated first as a return of capital to the extent of a holder’s adjusted tax basis in our Class A common stock and thereafter as capital gain from the sale or exchange of such Class A common stock, subject to the tax treatment described below in “—Dispositions.” If we are or become a U.S. real property holding corporation (as described below), we may be required to withhold 15% of any distribution to a non-U.S. holder that exceeds our current and accumulated earnings and profits if either our Class A common stock are not then treated as regularly traded on an established securities market or the non-U.S. holder owns in excess of 5% of our Class A common stock.</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Generally, distributions treated as dividends paid to a non-U.S. holder with respect to our Class A common stock will be subject to a 30% U.S. withholding tax, or such lower rate as may be specified by an applicable income tax treaty. Distributions treated as dividends that are effectively connected with such non-U.S. holder’s conduct of a trade or business within the United States (and, if required by an applicable tax treaty, are attributable to a U.S. permanent establishment of such non-U.S. holder) are generally subject to U.S. federal income tax on a net income basis in the same manner as if the non-U.S. holder were a U.S. person and are exempt from the 30% withholding tax (assuming compliance with certain certification requirements). Any such effectively connected distributions received by a non-U.S. holder that is a corporation may also, under certain circumstances, be subject to an additional “branch profits tax” at a rate of 30% (or lower applicable treaty rate).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To claim the benefit of an applicable tax treaty or an exemption from withholding because the income is effectively connected with the non-U.S. holder’s conduct of a trade or business in the United States, a non-U.S. holder generally will be required to provide a properly executed Internal Revenue Service Form W-8BEN or W-8BEN-E (if the holder is claiming the benefits of an income tax treaty) or Form W-8ECI (for income effectively connected with a trade or business in the United States) or other suitable form. Non-U.S. holders should consult their tax advisors regarding their entitlement to benefits under a relevant tax treaty.</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with respect to gain realized on the sale, exchange or other disposition of our Class A common stock unless:</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such non-U.S. holder’s conduct of a trade or business within the United States (and, if required by an applicable tax treaty, is attributable to a U.S. permanent establishment of such non-U.S. holder);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non-U.S. holder that is a non-resident alien individual, such non-U.S. holder is present in the United States for 183 or more days in the taxable year of disposition and certain other requirements are met; or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70" w:lineRule="auto"/>
        <w:tabs>
          <w:tab w:leader="none" w:pos="10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or have been a “United States real property holding corporation” (“USRPHC”) at any time within the shorter of the five-year period ending on the date of such sale, exchange, or other taxable disposition or the period that such non-U.S. holder held our Class A common stock and either (a) our Class A common stock were not treated as regularly traded on an established securities market at the time of the sale, or</w:t>
      </w:r>
    </w:p>
    <w:p>
      <w:pPr>
        <w:spacing w:after="0" w:line="2" w:lineRule="exact"/>
        <w:rPr>
          <w:rFonts w:ascii="Times New Roman" w:cs="Times New Roman" w:eastAsia="Times New Roman" w:hAnsi="Times New Roman"/>
          <w:sz w:val="17"/>
          <w:szCs w:val="17"/>
          <w:color w:val="auto"/>
        </w:rPr>
      </w:pPr>
    </w:p>
    <w:p>
      <w:pPr>
        <w:ind w:left="1000" w:right="319" w:firstLine="3"/>
        <w:spacing w:after="0" w:line="260" w:lineRule="auto"/>
        <w:tabs>
          <w:tab w:leader="none" w:pos="129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owns or owned (actually or constructively) more than 5% of our Class A common stock at any time during the shorter of the two periods mentioned above.</w:t>
      </w:r>
    </w:p>
    <w:p>
      <w:pPr>
        <w:spacing w:after="0" w:line="73"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gain or loss on the disposition of our Class A common stock is effectively connected with a non-U.S. holder’s conduct of a trade or business within the United States (and, if required by an applicable tax treaty, is attributable to a U.S. permanent establishment of such non-U.S. Holder), such gain or loss will be subject to U.S. federal income tax on a net income basis in the same manner as if the non-U.S. holder were a U.S. person, and in the case of a non-U.S. holder that is a foreign corporation, such gain may also be subject to an additional branch profits tax at a rate of 30% (or a lower applicable treaty rate). If a non-U.S. holder is an individual that is present in the United States for 183 or more days in the taxable year of disposition and certain other requirements are met, the non-U.S. holder generally will be subject to a flat income tax at a rate of 30% (or lower applicable treaty rate) on any capital gain recognized on the disposition of our Class A common stock, which may be offset by certain U.S. source capital losses.</w:t>
      </w:r>
    </w:p>
    <w:p>
      <w:pPr>
        <w:spacing w:after="0" w:line="8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With respect to the third bullet above, a corporation generally is a USRPHC if the fair market value of its U.S. real property interests, as defined in the Code and applicable Treasury regulations, equals or exceeds 50% of the aggregate fair market value of its worldwide real property interests and its other assets used or held for use in a trade or business. Although we believe that we currently are not a USRPHC, this determination is not free from doubt, and we could become a USRPHC in the future depending on the manner in which we expand our business. In addition, although we anticipate that our Class A common stock will be treated as “regularly traded on an established securities market” following this offering, no assurance can be given that our Class A common stock will continue to be so treated in the future. If the third bullet above applies to a non-U.S. holder, gain recognized on the disposition of our common shares generally will be subject to U.S. federal income tax under FIRPTA on a net income basis in the same manner as if the non-U.S. holder were a U.S. person. In addition, if our stock ceased to be “regularly traded,” the transferee in any disposition would generally be required to withhold 15% of the amount realized on the disposition under FIRPTA. Non-U.S. holders should consult their tax advisors regarding the foregoing rules.</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Information returns are required to be filed with the Internal Revenue Service in connection with payments of dividends on our Class A common stock. Unless you comply with certification procedures to establish that you are not a U.S. person, information returns may also be filed with the Internal Revenue Service in connection with the proceeds from a sale or other disposition of our Class A common stock. You may be subject to backup withholding on payments on our Class A common stock or on the proceeds from a sale or other disposition of our Class A common stock unless you comply with certification procedures to establish that you are not a U.S. person or otherwise establish an exemption. Your provision of a properly executed applicable Internal Revenue Service Form W-8</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certifying your non-U.S. status will generally permit you to avoid backup withholding. Amounts withheld under the backup withholding rules are not additional taxes and may be refunded or credited against your U.S. federal income tax liability, provided the required information is timely furnished to the Internal Revenue Service.</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Legislation enacted in 2010 and existing guidance issued thereunder require withholding at a rate of 30% on dividends in respect of our Class A common stock held by or through certain foreign financial institutions (including investment funds), unless such institution enters into an agreement with the United States Department of the Treasury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Accordingly, the entity through which our Class A common stock are held will affect the determination of whether such withholding is required. Similarly, dividends in respect of our Class A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Internal Revenue Service. An intergovernmental agreement between the United States and an applicable foreign country, or future Treasury regulations or other guidance, may modify the foregoing requirements. We will not pay any additional amounts to stockholders in respect of any amounts withheld. Stockholders are encouraged to consult their tax advisors regarding the possible implications of the legislation on their investment in our Class A common stock.</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ERISA CONSIDERATIONS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following is a general summary of certain considerations associated with the acquisition and holding of securities offered hereunder by employee benefit plans that are subject to Title I of ERISA, plans, individual retirement accounts and other arrangements that are subject to Section 4975 of the Code or employee benefit plans that are governmental plans (as defined in Section 3(32) of ERISA), certain church plans (as defined in Section 3(33) of ERISA), non-U.S. plans (as described in Section 4(b)(4) of securities) or other plans that are not subject to the foregoing but may be subject to provisions under any other federal, state, local, non-U.S. or other laws or regulations that are similar to such provisions of ERISA or the Code (collectively, “Similar Laws”), and entities whose underlying assets are considered to include “plan assets” of any such plan, account or arrangement (each, a “Plan”).</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This summary is based on the provisions of ERISA and the Code (and related regulations and administrative and judicial interpretations) as of the date of this prospectus.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 Each time we or any securityholders offer, issue or sell securities, we will provide a supplement to this prospectus that may contain supplemental information to this summary.</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Fiduciary Matters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 We and our affiliates will not act in a fiduciary capacity with respect to any Plan’s investment in our securities.</w:t>
      </w:r>
    </w:p>
    <w:p>
      <w:pPr>
        <w:spacing w:after="0" w:line="8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In considering an investment in a security offered pursuant hereto with a portion of the assets of any Plan, a fiduciary should consider the Plan’s particular circumstances and all of the facts and circumstances of the investment and determine whether the acquisition and holding of such security is in accordance with the documents and instruments governing the Plan and the applicable provisions of ERISA, the Code, or any Similar Law relating to the fiduciary’s duties to the Plan, including, without limitation:</w:t>
      </w:r>
    </w:p>
    <w:p>
      <w:pPr>
        <w:spacing w:after="0" w:line="75" w:lineRule="exact"/>
        <w:rPr>
          <w:sz w:val="20"/>
          <w:szCs w:val="20"/>
          <w:color w:val="auto"/>
        </w:rPr>
      </w:pPr>
    </w:p>
    <w:p>
      <w:pPr>
        <w:ind w:left="1000" w:right="31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investment is prudent under Section 404(a)(1)(B) of ERISA and any other applicable Similar Laws;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 making the investment, the ERISA Plan will satisfy the diversification requirements of Section 404(a)(1)(C) of ERISA and any other applicable Similar Laws;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investment is permitted under the terms of the applicable documents governing the Plan;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 the future there may be no market in which to sell or otherwise dispose of the security;</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acquisition or holding of such security will constitute a “prohibited transaction” under Section 406 of ERISA or Section 4975 of the Code (please see discussion under “—Prohibited Transaction Issues” below); and</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Plan will be considered to hold, as plan assets, (i) only such security or (ii) an undivided interest in our underlying assets (please see the discussion under “—Plan Asset Issues” below).</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Prohibited Transaction Issues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Section 406 of ERISA and Section 4975 of the Code prohibit ERISA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penalties and liabilities under ERISA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and the Code. The acquisition and/or holding of our securities by an ERISA Plan with respect to which the issuer or certain other parties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w:t>
      </w:r>
    </w:p>
    <w:p>
      <w:pPr>
        <w:spacing w:after="0" w:line="75"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Because of the foregoing, our securities (including interests therein) should not be acquired or held by any person investing “plan assets” of any Plan, unless such acquisition and holding will not constitute a non-exempt prohibited transaction under ERISA and the Code or a similar violation of any applicable Similar Laws.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Plan Asset Issues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Additionally, a fiduciary of a Plan should consider whether the Plan will, by investing in our equity securities, be deemed to own an undivided interest in our assets, with the result that we would become a fiduciary of the Plan and our operations would be subject to the regulatory restrictions of ERISA, including its prohibited transaction rules, as well as the prohibited transaction rules of the Code and any other applicable Similar Laws.</w:t>
      </w:r>
    </w:p>
    <w:p>
      <w:pPr>
        <w:spacing w:after="0" w:line="72"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Department of Labor (the “DOL”) regulations, as modified by Section 3(42) of ERISA (the “Plan Asset Regulation”) provide guidance with respect to whether the assets of an entity in which ERISA Plans acquire equity interests would be deemed “plan assets” under some circumstances. Under the Plan Asset Regulation, an entity’s assets generally would not be considered to be “plan assets” if, among other things:</w:t>
      </w:r>
    </w:p>
    <w:p>
      <w:pPr>
        <w:spacing w:after="0" w:line="72" w:lineRule="exact"/>
        <w:rPr>
          <w:sz w:val="20"/>
          <w:szCs w:val="20"/>
          <w:color w:val="auto"/>
        </w:rPr>
      </w:pPr>
    </w:p>
    <w:p>
      <w:pPr>
        <w:jc w:val="both"/>
        <w:ind w:left="1000" w:right="299" w:hanging="348"/>
        <w:spacing w:after="0" w:line="258"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interests acquired by ERISA Plans are “publicly offered securities” (as defined in the DOL regulations)—i.e., the equity interests are part of a class of securities that is widely held by 100 or more investors independent of the issuer and each other, are “freely transferable” (as defined in the DOL regulations), and are either registered under certain provisions of the federal securities laws or sold to the ERISA Plan as part of a public offering under certain conditions;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an “operating company” (as defined in the DOL regulations)—i.e., it is primarily engaged in the production or sale of a product or service, other than the investment of capital, either directly or through a majority-owned subsidiary or subsidiaries; or</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significant investment by benefit plan investors, which is defined to mean that immediately after the most recent acquisition by an ERISA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ERISA Plans, IRAs and certain other Plans (but not including governmental plans, foreign plans and certain church plans), and entities whose underlying assets are deemed to include plan assets by reason of a Plan’s investment in the entity.</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Due to the complexity of these rules and the excise taxes, penalties and liabilities that may be imposed upon persons involved in non-exempt prohibited transactions, it is particularly important that fiduciaries, or other persons considering acquiring and/or holding our equity securities on behalf of, or with the assets of, any Plan, consult with their counsel regarding the potential applicability of ERISA, Section 4975 of the Code and any Similar Laws to such investment and whether an exemption would be applicable to the investment in such securities. Purchasers of our securities have the exclusive responsibility for ensuring, and will be deemed (and in certain cases may be required) to represent, that their acquisition and holding of such securities complies with the fiduciary responsibility rules of ERISA and does not violate the prohibited transaction rules of ERISA, the Code or applicable Similar Laws. The sale of any security to a Plan is in no respect a representation or recommendation by us or any of our respective affiliates or representatives that such an investment meets all relevant legal requirements with respect to investments by any such Plan or that such investment is appropriate or advisable for any such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Ernst &amp; Young LLP (“E&amp;Y”), independent registered public accounting firm, has audited our consolidated financial statements included in our Annual Report on Form 10-K for the year ended December 31, 2020 and the effectiveness of New Fortress Energy Inc.'s internal control over financial reporting as of December 31, 2020, as set forth in their reports (which contains an explanatory paragraph describing the adoption of ASU No. 2016-02 as described in Note 3 to the consolidated financial statements), which are incorporated by reference in this prospectus and elsewhere in the registration statement. Our financial statements are incorporated by reference in reliance on E&amp;Y’s reports, given on their authority as experts in accounting and auditing.</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E&amp;Y, independent registered public accounting firm, has audited the consolidated financial statements of GMLP included in our Current Report on Form 8-K filed with the SEC on March 18, 2021 for the year ended December 31, 2020, as set forth in their report (which contains an explanatory paragraph describing conditions that raise substantial doubt about the Company’s ability to continue as a going concern as described in Note 1 to the consolidated financial statements), which is incorporated by reference in this prospectus and elsewhere in the registration statement. GMLP’s financial statements are incorporated by reference in reliance on E&amp;Y’s report, given on their authority as experts in accounting and auditing.</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E&amp;Y, independent registered public accounting firm, has audited the consolidated financial statements of Hygo included in our Current Report on Form 8-K filed with the SEC on March 18, 2021 for the year ended December 31, 2020, as set forth in their report, which is incorporated by reference in this prospectus and elsewhere in the registration statement. Hygo’s financial statements are incorporated by reference in reliance on E&amp;Y’s report, given 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9"/>
          <w:szCs w:val="29"/>
          <w:b w:val="1"/>
          <w:bCs w:val="1"/>
          <w:color w:val="auto"/>
        </w:rPr>
        <w:t>6,900,000 Shares</w:t>
      </w:r>
    </w:p>
    <w:p>
      <w:pPr>
        <w:spacing w:after="0" w:line="4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9"/>
          <w:szCs w:val="29"/>
          <w:b w:val="1"/>
          <w:bCs w:val="1"/>
          <w:color w:val="auto"/>
        </w:rPr>
        <w:t> </w:t>
      </w:r>
    </w:p>
    <w:p>
      <w:pPr>
        <w:spacing w:after="0" w:line="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9"/>
          <w:szCs w:val="29"/>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628650</wp:posOffset>
            </wp:positionV>
            <wp:extent cx="2597150" cy="685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259715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New Fortress Energy Inc.</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924560</wp:posOffset>
            </wp:positionV>
            <wp:extent cx="10972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178435</wp:posOffset>
            </wp:positionV>
            <wp:extent cx="10972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J.P. Morgan</w:t>
      </w: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163195</wp:posOffset>
            </wp:positionV>
            <wp:extent cx="52120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222885</wp:posOffset>
            </wp:positionV>
            <wp:extent cx="521208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60" w:name="page61"/>
    <w:bookmarkEnd w:id="60"/>
    <w:p>
      <w:pPr>
        <w:ind w:left="1018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425(b)(7)</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(Form Type)</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New Fortress Energy Inc.</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Table 1: Newly Registered and Carry Forward Securities</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360" w:type="dxa"/>
            <w:vAlign w:val="bottom"/>
            <w:tcBorders>
              <w:top w:val="single" w:sz="8" w:color="auto"/>
              <w:left w:val="single" w:sz="8" w:color="auto"/>
              <w:right w:val="single" w:sz="8" w:color="auto"/>
            </w:tcBorders>
          </w:tcPr>
          <w:p>
            <w:pPr>
              <w:spacing w:after="0"/>
              <w:rPr>
                <w:sz w:val="19"/>
                <w:szCs w:val="19"/>
                <w:color w:val="auto"/>
              </w:rPr>
            </w:pPr>
          </w:p>
        </w:tc>
        <w:tc>
          <w:tcPr>
            <w:tcW w:w="680" w:type="dxa"/>
            <w:vAlign w:val="bottom"/>
            <w:tcBorders>
              <w:top w:val="single" w:sz="8" w:color="auto"/>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right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right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Filing Fee</w:t>
            </w: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Previously</w:t>
            </w: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Proposed</w:t>
            </w:r>
          </w:p>
        </w:tc>
        <w:tc>
          <w:tcPr>
            <w:tcW w:w="9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Carry</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Paid In</w:t>
            </w:r>
          </w:p>
        </w:tc>
        <w:tc>
          <w:tcPr>
            <w:tcW w:w="0" w:type="dxa"/>
            <w:vAlign w:val="bottom"/>
          </w:tcPr>
          <w:p>
            <w:pPr>
              <w:spacing w:after="0"/>
              <w:rPr>
                <w:sz w:val="1"/>
                <w:szCs w:val="1"/>
                <w:color w:val="auto"/>
              </w:rPr>
            </w:pPr>
          </w:p>
        </w:tc>
      </w:tr>
      <w:tr>
        <w:trPr>
          <w:trHeight w:val="180"/>
        </w:trPr>
        <w:tc>
          <w:tcPr>
            <w:tcW w:w="1360" w:type="dxa"/>
            <w:vAlign w:val="bottom"/>
            <w:tcBorders>
              <w:left w:val="single" w:sz="8" w:color="auto"/>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vMerge w:val="continue"/>
          </w:tcPr>
          <w:p>
            <w:pPr>
              <w:spacing w:after="0"/>
              <w:rPr>
                <w:sz w:val="15"/>
                <w:szCs w:val="15"/>
                <w:color w:val="auto"/>
              </w:rPr>
            </w:pPr>
          </w:p>
        </w:tc>
        <w:tc>
          <w:tcPr>
            <w:tcW w:w="98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rPr>
              <w:t>Maximum</w:t>
            </w:r>
          </w:p>
        </w:tc>
        <w:tc>
          <w:tcPr>
            <w:tcW w:w="12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rPr>
              <w:t>Carry</w:t>
            </w:r>
          </w:p>
        </w:tc>
        <w:tc>
          <w:tcPr>
            <w:tcW w:w="70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7"/>
              </w:rPr>
              <w:t>Carry</w:t>
            </w:r>
          </w:p>
        </w:tc>
        <w:tc>
          <w:tcPr>
            <w:tcW w:w="700" w:type="dxa"/>
            <w:vAlign w:val="bottom"/>
            <w:tcBorders>
              <w:right w:val="single" w:sz="8" w:color="auto"/>
            </w:tcBorders>
            <w:vMerge w:val="continue"/>
          </w:tcPr>
          <w:p>
            <w:pPr>
              <w:spacing w:after="0"/>
              <w:rPr>
                <w:sz w:val="15"/>
                <w:szCs w:val="15"/>
                <w:color w:val="auto"/>
              </w:rPr>
            </w:pPr>
          </w:p>
        </w:tc>
        <w:tc>
          <w:tcPr>
            <w:tcW w:w="96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Connection</w:t>
            </w: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Calculation</w:t>
            </w:r>
          </w:p>
        </w:tc>
        <w:tc>
          <w:tcPr>
            <w:tcW w:w="20" w:type="dxa"/>
            <w:vAlign w:val="bottom"/>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Amount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Aggregate</w:t>
            </w:r>
          </w:p>
        </w:tc>
        <w:tc>
          <w:tcPr>
            <w:tcW w:w="120" w:type="dxa"/>
            <w:vAlign w:val="bottom"/>
          </w:tcPr>
          <w:p>
            <w:pPr>
              <w:spacing w:after="0"/>
              <w:rPr>
                <w:sz w:val="18"/>
                <w:szCs w:val="18"/>
                <w:color w:val="auto"/>
              </w:rPr>
            </w:pPr>
          </w:p>
        </w:tc>
        <w:tc>
          <w:tcPr>
            <w:tcW w:w="54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Fee</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Forward</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Forward</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Type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Class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Carry</w:t>
            </w:r>
          </w:p>
        </w:tc>
        <w:tc>
          <w:tcPr>
            <w:tcW w:w="20" w:type="dxa"/>
            <w:vAlign w:val="bottom"/>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Offering</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120" w:type="dxa"/>
            <w:vAlign w:val="bottom"/>
          </w:tcPr>
          <w:p>
            <w:pPr>
              <w:spacing w:after="0"/>
              <w:rPr>
                <w:sz w:val="18"/>
                <w:szCs w:val="18"/>
                <w:color w:val="auto"/>
              </w:rPr>
            </w:pPr>
          </w:p>
        </w:tc>
        <w:tc>
          <w:tcPr>
            <w:tcW w:w="54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Rate</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Registration</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Form</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File</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Initial</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Unsold</w:t>
            </w: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Price Per</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Price</w:t>
            </w:r>
          </w:p>
        </w:tc>
        <w:tc>
          <w:tcPr>
            <w:tcW w:w="1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Type</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effective</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w:t>
            </w:r>
          </w:p>
        </w:tc>
        <w:tc>
          <w:tcPr>
            <w:tcW w:w="9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to be</w:t>
            </w:r>
          </w:p>
        </w:tc>
        <w:tc>
          <w:tcPr>
            <w:tcW w:w="0" w:type="dxa"/>
            <w:vAlign w:val="bottom"/>
          </w:tcPr>
          <w:p>
            <w:pPr>
              <w:spacing w:after="0"/>
              <w:rPr>
                <w:sz w:val="1"/>
                <w:szCs w:val="1"/>
                <w:color w:val="auto"/>
              </w:rPr>
            </w:pPr>
          </w:p>
        </w:tc>
      </w:tr>
      <w:tr>
        <w:trPr>
          <w:trHeight w:val="36"/>
        </w:trPr>
        <w:tc>
          <w:tcPr>
            <w:tcW w:w="1360" w:type="dxa"/>
            <w:vAlign w:val="bottom"/>
            <w:tcBorders>
              <w:left w:val="single" w:sz="8" w:color="auto"/>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940" w:type="dxa"/>
            <w:vAlign w:val="bottom"/>
            <w:tcBorders>
              <w:right w:val="single" w:sz="8" w:color="auto"/>
            </w:tcBorders>
          </w:tcPr>
          <w:p>
            <w:pPr>
              <w:spacing w:after="0"/>
              <w:rPr>
                <w:sz w:val="3"/>
                <w:szCs w:val="3"/>
                <w:color w:val="auto"/>
              </w:rPr>
            </w:pPr>
          </w:p>
        </w:tc>
        <w:tc>
          <w:tcPr>
            <w:tcW w:w="94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Carried</w:t>
            </w:r>
          </w:p>
        </w:tc>
        <w:tc>
          <w:tcPr>
            <w:tcW w:w="0" w:type="dxa"/>
            <w:vAlign w:val="bottom"/>
          </w:tcPr>
          <w:p>
            <w:pPr>
              <w:spacing w:after="0"/>
              <w:rPr>
                <w:sz w:val="1"/>
                <w:szCs w:val="1"/>
                <w:color w:val="auto"/>
              </w:rPr>
            </w:pPr>
          </w:p>
        </w:tc>
      </w:tr>
      <w:tr>
        <w:trPr>
          <w:trHeight w:val="241"/>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36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Fees to Be</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7"/>
                <w:szCs w:val="17"/>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7"/>
                <w:szCs w:val="17"/>
                <w:color w:val="auto"/>
              </w:rPr>
            </w:pPr>
          </w:p>
        </w:tc>
        <w:tc>
          <w:tcPr>
            <w:tcW w:w="540" w:type="dxa"/>
            <w:vAlign w:val="bottom"/>
            <w:tcBorders>
              <w:right w:val="single" w:sz="8" w:color="auto"/>
            </w:tcBorders>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26"/>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68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3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36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Fees</w:t>
            </w:r>
          </w:p>
        </w:tc>
        <w:tc>
          <w:tcPr>
            <w:tcW w:w="6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9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w:t>
            </w:r>
          </w:p>
        </w:tc>
        <w:tc>
          <w:tcPr>
            <w:tcW w:w="9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457(o)</w:t>
            </w:r>
          </w:p>
        </w:tc>
        <w:tc>
          <w:tcPr>
            <w:tcW w:w="20" w:type="dxa"/>
            <w:vAlign w:val="bottom"/>
          </w:tcPr>
          <w:p>
            <w:pPr>
              <w:spacing w:after="0"/>
              <w:rPr>
                <w:sz w:val="17"/>
                <w:szCs w:val="17"/>
                <w:color w:val="auto"/>
              </w:rPr>
            </w:pPr>
          </w:p>
        </w:tc>
        <w:tc>
          <w:tcPr>
            <w:tcW w:w="8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6,900,000</w:t>
            </w:r>
          </w:p>
        </w:tc>
        <w:tc>
          <w:tcPr>
            <w:tcW w:w="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 (1)</w:t>
            </w:r>
          </w:p>
        </w:tc>
        <w:tc>
          <w:tcPr>
            <w:tcW w:w="120" w:type="dxa"/>
            <w:vAlign w:val="bottom"/>
          </w:tcPr>
          <w:p>
            <w:pPr>
              <w:spacing w:after="0"/>
              <w:rPr>
                <w:sz w:val="17"/>
                <w:szCs w:val="17"/>
                <w:color w:val="auto"/>
              </w:rPr>
            </w:pPr>
          </w:p>
        </w:tc>
        <w:tc>
          <w:tcPr>
            <w:tcW w:w="540" w:type="dxa"/>
            <w:vAlign w:val="bottom"/>
            <w:tcBorders>
              <w:right w:val="single" w:sz="8" w:color="auto"/>
            </w:tcBorders>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$30,050.20</w:t>
            </w:r>
          </w:p>
        </w:tc>
        <w:tc>
          <w:tcPr>
            <w:tcW w:w="70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Previously</w:t>
            </w:r>
          </w:p>
        </w:tc>
        <w:tc>
          <w:tcPr>
            <w:tcW w:w="6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6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 par</w:t>
            </w: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$0.01</w:t>
            </w: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94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36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Carry</w:t>
            </w:r>
          </w:p>
        </w:tc>
        <w:tc>
          <w:tcPr>
            <w:tcW w:w="68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Forward</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54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1"/>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w:t>
            </w:r>
          </w:p>
        </w:tc>
        <w:tc>
          <w:tcPr>
            <w:tcW w:w="6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80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700" w:type="dxa"/>
            <w:vAlign w:val="bottom"/>
            <w:tcBorders>
              <w:bottom w:val="single" w:sz="8" w:color="auto"/>
              <w:right w:val="single" w:sz="8" w:color="auto"/>
            </w:tcBorders>
            <w:gridSpan w:val="4"/>
          </w:tcPr>
          <w:p>
            <w:pPr>
              <w:jc w:val="center"/>
              <w:ind w:right="570"/>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8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$30,050.20</w:t>
            </w:r>
          </w:p>
        </w:tc>
        <w:tc>
          <w:tcPr>
            <w:tcW w:w="7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80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8"/>
              </w:rPr>
              <w:t>Net Fee Due</w:t>
            </w:r>
          </w:p>
        </w:tc>
        <w:tc>
          <w:tcPr>
            <w:tcW w:w="80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(2)</w:t>
            </w:r>
          </w:p>
        </w:tc>
        <w:tc>
          <w:tcPr>
            <w:tcW w:w="7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220" w:firstLine="8"/>
        <w:spacing w:after="0" w:line="239" w:lineRule="auto"/>
        <w:tabs>
          <w:tab w:leader="none" w:pos="30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Relates to the registration statement on Form S-3 (Registration No. 333-254469) filed by the Company for the sale of up to 149,055,732 shares of Class A common stock, $0.01 par value per share of the Company by the Selling Securityholders identified therein, which became effective on March 18, 2021 (the “Form S-3ASR”) and pursuant to which the Company paid a registration fee of $30,050.20.</w:t>
      </w:r>
    </w:p>
    <w:p>
      <w:pPr>
        <w:spacing w:after="0" w:line="207" w:lineRule="exact"/>
        <w:rPr>
          <w:rFonts w:ascii="Times New Roman" w:cs="Times New Roman" w:eastAsia="Times New Roman" w:hAnsi="Times New Roman"/>
          <w:sz w:val="22"/>
          <w:szCs w:val="22"/>
          <w:color w:val="auto"/>
        </w:rPr>
      </w:pPr>
    </w:p>
    <w:p>
      <w:pPr>
        <w:ind w:right="560" w:firstLine="8"/>
        <w:spacing w:after="0" w:line="258" w:lineRule="auto"/>
        <w:tabs>
          <w:tab w:leader="none" w:pos="30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Rule 424(g)(2) and General Instruction II.F to Form S-3, this prospectus supplement shall be deemed a final prospectus for purposes of the offering of the securities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60"/>
      </w:cols>
      <w:pgMar w:left="320" w:top="2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lvl w:ilvl="1">
      <w:lvlJc w:val="left"/>
      <w:lvlText w:val="(%2)"/>
      <w:numFmt w:val="lowerRoman"/>
      <w:start w:val="2"/>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decimal"/>
      <w:start w:val="516"/>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1)"/>
      <w:numFmt w:val="decimal"/>
      <w:start w:val="516"/>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lowerRoman"/>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decimal"/>
      <w:start w:val="4"/>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2"/>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lvl w:ilvl="1">
      <w:lvlJc w:val="left"/>
      <w:lvlText w:val="(%2)"/>
      <w:numFmt w:val="lowerLetter"/>
      <w:start w:val="2"/>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jpe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jpe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43" Type="http://schemas.openxmlformats.org/officeDocument/2006/relationships/hyperlink" Target="https://www.sec.gov/ix?doc=/Archives/edgar/data/1749723/000114036122007364/brhc10034476_10k.htm" TargetMode="External"/><Relationship Id="rId44" Type="http://schemas.openxmlformats.org/officeDocument/2006/relationships/hyperlink" Target="https://www.sec.gov/ix?doc=/Archives/edgar/data/1749723/000174972322000010/nfe-20220331.htm" TargetMode="External"/><Relationship Id="rId45" Type="http://schemas.openxmlformats.org/officeDocument/2006/relationships/hyperlink" Target="https://www.sec.gov/ix?doc=/Archives/edgar/data/1749723/000174972322000028/nfe-20220630.htm" TargetMode="External"/><Relationship Id="rId46" Type="http://schemas.openxmlformats.org/officeDocument/2006/relationships/hyperlink" Target="https://www.sec.gov/ix?doc=/Archives/edgar/data/1749723/000174972322000044/nfe-20220930.htm" TargetMode="External"/><Relationship Id="rId47" Type="http://schemas.openxmlformats.org/officeDocument/2006/relationships/hyperlink" Target="https://www.sec.gov/ix?doc=/Archives/edgar/data/1749723/000114036121009140/brhc10019275_8k.htm" TargetMode="External"/><Relationship Id="rId48" Type="http://schemas.openxmlformats.org/officeDocument/2006/relationships/hyperlink" Target="https://www.sec.gov/ix?doc=/Archives/edgar/data/1749723/000174972322000015/nfe-20220531.htm" TargetMode="External"/><Relationship Id="rId49" Type="http://schemas.openxmlformats.org/officeDocument/2006/relationships/hyperlink" Target="https://www.sec.gov/ix?doc=/Archives/edgar/data/1749723/000174972322000017/nfe-20220615.htm" TargetMode="External"/><Relationship Id="rId50" Type="http://schemas.openxmlformats.org/officeDocument/2006/relationships/hyperlink" Target="https://www.sec.gov/ix?doc=/Archives/edgar/data/1749723/000174972322000020/nfe-20220702.htm" TargetMode="External"/><Relationship Id="rId51" Type="http://schemas.openxmlformats.org/officeDocument/2006/relationships/hyperlink" Target="https://www.sec.gov/ix?doc=/Archives/edgar/data/1749723/000174972322000023/nfe-20220727.htm" TargetMode="External"/><Relationship Id="rId52" Type="http://schemas.openxmlformats.org/officeDocument/2006/relationships/hyperlink" Target="https://www.sec.gov/ix?doc=/Archives/edgar/data/1749723/000174972322000031/nfe-20220815.htm" TargetMode="External"/><Relationship Id="rId53" Type="http://schemas.openxmlformats.org/officeDocument/2006/relationships/hyperlink" Target="https://www.sec.gov/ix?doc=/Archives/edgar/data/1749723/000174972322000034/nfe-20221003.htm" TargetMode="External"/><Relationship Id="rId54" Type="http://schemas.openxmlformats.org/officeDocument/2006/relationships/hyperlink" Target="https://www.sec.gov/ix?doc=/Archives/edgar/data/1749723/000174972322000047/nfe-20221121.htm" TargetMode="External"/><Relationship Id="rId55" Type="http://schemas.openxmlformats.org/officeDocument/2006/relationships/hyperlink" Target="https://www.sec.gov/Archives/edgar/data/1749723/000114036120017741/brhc10014200_8a12ba.htm" TargetMode="External"/><Relationship Id="rId56" Type="http://schemas.openxmlformats.org/officeDocument/2006/relationships/hyperlink" Target="https://www.sec.gov/Archives/edgar/data/1749723/000114036122016959/edge20003170x1_def14a.htm" TargetMode="External"/><Relationship Id="rId62" Type="http://schemas.openxmlformats.org/officeDocument/2006/relationships/hyperlink" Target="https://www.sec.gov/Archives/edgar/data/1749723/000114036121008724/brhc10021589_10k.htm" TargetMode="External"/><Relationship Id="rId63" Type="http://schemas.openxmlformats.org/officeDocument/2006/relationships/hyperlink" Target="https://www.sec.gov/Archives/edgar/data/1749723/000114036121001601/brhc10019000_8k.htm" TargetMode="External"/><Relationship Id="rId64" Type="http://schemas.openxmlformats.org/officeDocument/2006/relationships/hyperlink" Target="https://www.sec.gov/Archives/edgar/data/1749723/000114036121009140/brhc10019275_8k.htm" TargetMode="External"/><Relationship Id="rId65" Type="http://schemas.openxmlformats.org/officeDocument/2006/relationships/hyperlink" Target="https://www.sec.gov/Archives/edgar/data/1749723/000114036120009946/nc10011189x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2022-12-16T15:56:36Z</dcterms:created>
  <dcterms:modified xsi:type="dcterms:W3CDTF">2022-12-16T15:56:36Z</dcterms:modified>
</cp:coreProperties>
</file>