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2025</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May 14, 2025, New Fortress Energy Inc., a Delaware corporation (“NFE” or the “Company”), and Atlantic Energy Holdings LLC, a Delaware limited liability company (“Seller” and together with NFE, the “NFE Parties”), successfully closed the previously announced acquisition by Excelerate Energy Limited Partnership (“EELP”), a subsidiary of Excelerate Energy, Inc., in which, pursuant to the equity and asset purchase agreement dated March 26, 2025 (the “Purchase Agreement”), by and among EELP and the NFE Parties, EELP agreed to acquire the NFE Parties’ business in Jamaica for a purchase price of $1.055 billion in cash, subject to certain adjustments for cash, indebtedness, transaction expenses, working capital and liquefied natural gas and fuel inventory (the “Transaction”).</w:t>
      </w:r>
    </w:p>
    <w:p>
      <w:pPr>
        <w:spacing w:after="0" w:line="197"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Transaction do not purport to be complete and are subject to and qualified in their entirety by reference to the copy of the Purchase Agreement, which was previously filed with the Securities and Exchange Commission as Exhibit 10.1 to the Company’s Current Report on Form 8-K filed on March 27, 2025 and is incorporated herein by reference.</w:t>
      </w:r>
    </w:p>
    <w:p>
      <w:pPr>
        <w:spacing w:after="0" w:line="200" w:lineRule="exact"/>
        <w:rPr>
          <w:sz w:val="20"/>
          <w:szCs w:val="20"/>
          <w:color w:val="auto"/>
        </w:rPr>
      </w:pPr>
    </w:p>
    <w:p>
      <w:pPr>
        <w:spacing w:after="0" w:line="25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consolidated financial statements of the Company as of and for the period ended March 31, 2025 and for the year ended December 31, 2024, giving effect to the Transaction are filed as Exhibit 99.3 to this Current Report on Form 8-K and is incorporated into this Item 9.01 by reference.</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3</w:t>
            </w:r>
          </w:p>
        </w:tc>
        <w:tc>
          <w:tcPr>
            <w:tcW w:w="10580" w:type="dxa"/>
            <w:vAlign w:val="bottom"/>
            <w:tcBorders>
              <w:top w:val="single" w:sz="8" w:color="auto"/>
            </w:tcBorders>
          </w:tcPr>
          <w:p>
            <w:pPr>
              <w:ind w:left="320"/>
              <w:spacing w:after="0" w:line="189" w:lineRule="exact"/>
              <w:rPr>
                <w:sz w:val="20"/>
                <w:szCs w:val="20"/>
                <w:color w:val="auto"/>
              </w:rPr>
            </w:pPr>
            <w:r>
              <w:rPr>
                <w:rFonts w:ascii="Times New Roman" w:cs="Times New Roman" w:eastAsia="Times New Roman" w:hAnsi="Times New Roman"/>
                <w:sz w:val="18"/>
                <w:szCs w:val="18"/>
                <w:color w:val="auto"/>
              </w:rPr>
              <w:t>Unaudited pro forma condensed consolidated financial information of New Fortress Energy, Inc.</w:t>
            </w:r>
          </w:p>
        </w:tc>
      </w:tr>
      <w:tr>
        <w:trPr>
          <w:trHeight w:val="291"/>
        </w:trPr>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7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May 20, 2025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14, 2025, New Fortress Energy, Inc. (“NFE”, the “Company”, “we”, “our” and “us”) completed the previously announced sale (the “Transaction”) of its Jamaica business, including operations at the LNG import terminal in Montego Bay, the offshore floating storage and regasification terminal in Old Harbour and the 150 megawatt Combined Heat and Power Plant in Clarendon, along with the associated infrastructure, (the “Jamaica Business”) to Excelerate Energy, Inc. for aggregate cash consideration of $1.055 billion pursuant to the Purchase Agreement dated March 26, 2025 (the “Purchase Agreement”).</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consolidated financial statements (which we refer to as the “pro forma financial statements”) have been prepared from the Company’s historical consolidated financial statements, adjusted to give effect to the Transaction. The unaudited pro forma condensed consolidated balance sheet as of March 31, 2025 reflects the Company’s financial position as if the Transaction had occurred on March 31, 2025. The unaudited pro forma condensed consolidated income statements for the three months ended March 31, 2025 and for the year ended December 31, 2024 reflects the Company’s results as if the Transaction had occurred as of January 1, 2024. The Transaction does not qualify as a discontinued operation as it does not represent a strategic shift that will have a major effect on the Company’s operations or financial results.</w:t>
      </w:r>
    </w:p>
    <w:p>
      <w:pPr>
        <w:spacing w:after="0" w:line="10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The pro forma financial statements have been prepared based on information available and certain assumptions that management believes are reasonable, as further described below. They are not intended to be a complete representation of the Company’s financial position or results of operations had the Transaction occurred as of the period indicated. In addition, the pro forma financial statements are provided for illustrative and informational purposes only and are not necessarily indicative of the Company’s future results of operations or financial condition had the Transaction and related transactions been completed on the date assumed. The pro forma financial statements should be read in conjunction with the Company’s historical consolidated financial statements and accompanying notes.</w:t>
      </w:r>
    </w:p>
    <w:p>
      <w:pPr>
        <w:spacing w:after="0" w:line="107"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The preparation of pro forma financial statements includes transaction accounting adjustments that are based on reasonable estimates and assumptions further described in the accompanying notes. These transaction accounting adjustments are preliminary, subject to further revision as additional information becomes available and additional analyses are performed and have been made solely for the purpose of providing pro forma financial statements.</w:t>
      </w:r>
    </w:p>
    <w:p>
      <w:pPr>
        <w:sectPr>
          <w:pgSz w:w="11900" w:h="16838" w:orient="portrait"/>
          <w:cols w:equalWidth="0" w:num="1">
            <w:col w:w="11220"/>
          </w:cols>
          <w:pgMar w:left="320" w:top="644" w:right="359" w:bottom="1440" w:gutter="0" w:footer="0" w:header="0"/>
        </w:sectPr>
      </w:pPr>
    </w:p>
    <w:bookmarkStart w:id="4" w:name="page5"/>
    <w:bookmarkEnd w:id="4"/>
    <w:p>
      <w:pPr>
        <w:ind w:left="462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of March 31,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Historical NFE</w:t>
            </w:r>
          </w:p>
        </w:tc>
        <w:tc>
          <w:tcPr>
            <w:tcW w:w="240" w:type="dxa"/>
            <w:vAlign w:val="bottom"/>
          </w:tcPr>
          <w:p>
            <w:pPr>
              <w:spacing w:after="0"/>
              <w:rPr>
                <w:sz w:val="17"/>
                <w:szCs w:val="17"/>
                <w:color w:val="auto"/>
              </w:rPr>
            </w:pPr>
          </w:p>
        </w:tc>
        <w:tc>
          <w:tcPr>
            <w:tcW w:w="204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80" w:type="dxa"/>
            <w:vAlign w:val="bottom"/>
          </w:tcPr>
          <w:p>
            <w:pPr>
              <w:spacing w:after="0"/>
              <w:rPr>
                <w:sz w:val="17"/>
                <w:szCs w:val="17"/>
                <w:color w:val="auto"/>
              </w:rPr>
            </w:pPr>
          </w:p>
        </w:tc>
        <w:tc>
          <w:tcPr>
            <w:tcW w:w="19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Pro Forma NFE</w:t>
            </w:r>
          </w:p>
        </w:tc>
        <w:tc>
          <w:tcPr>
            <w:tcW w:w="0" w:type="dxa"/>
            <w:vAlign w:val="bottom"/>
          </w:tcPr>
          <w:p>
            <w:pPr>
              <w:spacing w:after="0"/>
              <w:rPr>
                <w:sz w:val="1"/>
                <w:szCs w:val="1"/>
                <w:color w:val="auto"/>
              </w:rPr>
            </w:pPr>
          </w:p>
        </w:tc>
      </w:tr>
      <w:tr>
        <w:trPr>
          <w:trHeight w:val="23"/>
        </w:trPr>
        <w:tc>
          <w:tcPr>
            <w:tcW w:w="2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447,862</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677,465</w:t>
            </w:r>
          </w:p>
        </w:tc>
        <w:tc>
          <w:tcPr>
            <w:tcW w:w="28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 c, d</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1,125,327</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379,537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379,537</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Receivables, net of allowances</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273,136</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273,136</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66,695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66,695</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Assets held for sale – current</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104,553</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(104,553)</w:t>
            </w:r>
          </w:p>
        </w:tc>
        <w:tc>
          <w:tcPr>
            <w:tcW w:w="28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assets, net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201,925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43,635</w:t>
            </w:r>
          </w:p>
        </w:tc>
        <w:tc>
          <w:tcPr>
            <w:tcW w:w="280" w:type="dxa"/>
            <w:vAlign w:val="bottom"/>
          </w:tcPr>
          <w:p>
            <w:pPr>
              <w:spacing w:after="0"/>
              <w:rPr>
                <w:sz w:val="17"/>
                <w:szCs w:val="17"/>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245,560</w:t>
            </w:r>
          </w:p>
        </w:tc>
        <w:tc>
          <w:tcPr>
            <w:tcW w:w="0" w:type="dxa"/>
            <w:vAlign w:val="bottom"/>
          </w:tcPr>
          <w:p>
            <w:pPr>
              <w:spacing w:after="0"/>
              <w:rPr>
                <w:sz w:val="1"/>
                <w:szCs w:val="1"/>
                <w:color w:val="auto"/>
              </w:rPr>
            </w:pPr>
          </w:p>
        </w:tc>
      </w:tr>
      <w:tr>
        <w:trPr>
          <w:trHeight w:val="23"/>
        </w:trPr>
        <w:tc>
          <w:tcPr>
            <w:tcW w:w="2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1,473,708</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616,547</w:t>
            </w:r>
          </w:p>
        </w:tc>
        <w:tc>
          <w:tcPr>
            <w:tcW w:w="2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2,090,255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3,901,113</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3,901,113</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5,545,980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5,545,980</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Right-of-use assets</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465,939</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465,939</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188,118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188,118</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594,256</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594,256</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Deferred tax assets, net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(1,196)</w:t>
            </w:r>
          </w:p>
        </w:tc>
        <w:tc>
          <w:tcPr>
            <w:tcW w:w="28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5,652</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Assets held for sale – non-current</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633,654</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(633,654)</w:t>
            </w:r>
          </w:p>
        </w:tc>
        <w:tc>
          <w:tcPr>
            <w:tcW w:w="28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non-current assets, net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218,464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55,000</w:t>
            </w:r>
          </w:p>
        </w:tc>
        <w:tc>
          <w:tcPr>
            <w:tcW w:w="280" w:type="dxa"/>
            <w:vAlign w:val="bottom"/>
          </w:tcPr>
          <w:p>
            <w:pPr>
              <w:spacing w:after="0"/>
              <w:rPr>
                <w:sz w:val="17"/>
                <w:szCs w:val="17"/>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273,464</w:t>
            </w:r>
          </w:p>
        </w:tc>
        <w:tc>
          <w:tcPr>
            <w:tcW w:w="0" w:type="dxa"/>
            <w:vAlign w:val="bottom"/>
          </w:tcPr>
          <w:p>
            <w:pPr>
              <w:spacing w:after="0"/>
              <w:rPr>
                <w:sz w:val="1"/>
                <w:szCs w:val="1"/>
                <w:color w:val="auto"/>
              </w:rPr>
            </w:pPr>
          </w:p>
        </w:tc>
      </w:tr>
      <w:tr>
        <w:trPr>
          <w:trHeight w:val="23"/>
        </w:trPr>
        <w:tc>
          <w:tcPr>
            <w:tcW w:w="2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13,028,080</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36,697</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13,064,777</w:t>
            </w:r>
          </w:p>
        </w:tc>
        <w:tc>
          <w:tcPr>
            <w:tcW w:w="0" w:type="dxa"/>
            <w:vAlign w:val="bottom"/>
          </w:tcPr>
          <w:p>
            <w:pPr>
              <w:spacing w:after="0"/>
              <w:rPr>
                <w:sz w:val="1"/>
                <w:szCs w:val="1"/>
                <w:color w:val="auto"/>
              </w:rPr>
            </w:pPr>
          </w:p>
        </w:tc>
      </w:tr>
      <w:tr>
        <w:trPr>
          <w:trHeight w:val="95"/>
        </w:trPr>
        <w:tc>
          <w:tcPr>
            <w:tcW w:w="2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portion of long-term debt and</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260,848</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(19,703)</w:t>
            </w:r>
          </w:p>
        </w:tc>
        <w:tc>
          <w:tcPr>
            <w:tcW w:w="28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c</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241,145</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655,073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655,073</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268,083</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45,206</w:t>
            </w:r>
          </w:p>
        </w:tc>
        <w:tc>
          <w:tcPr>
            <w:tcW w:w="28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84"/>
              </w:rPr>
              <w:t>f</w:t>
            </w: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313,289</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82,442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82,442</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Liabilities held for sale – current</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35,894</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(35,894)</w:t>
            </w:r>
          </w:p>
        </w:tc>
        <w:tc>
          <w:tcPr>
            <w:tcW w:w="28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171,342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62,996</w:t>
            </w:r>
          </w:p>
        </w:tc>
        <w:tc>
          <w:tcPr>
            <w:tcW w:w="28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234,338</w:t>
            </w:r>
          </w:p>
        </w:tc>
        <w:tc>
          <w:tcPr>
            <w:tcW w:w="0" w:type="dxa"/>
            <w:vAlign w:val="bottom"/>
          </w:tcPr>
          <w:p>
            <w:pPr>
              <w:spacing w:after="0"/>
              <w:rPr>
                <w:sz w:val="1"/>
                <w:szCs w:val="1"/>
                <w:color w:val="auto"/>
              </w:rPr>
            </w:pPr>
          </w:p>
        </w:tc>
      </w:tr>
      <w:tr>
        <w:trPr>
          <w:trHeight w:val="23"/>
        </w:trPr>
        <w:tc>
          <w:tcPr>
            <w:tcW w:w="2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1,473,682</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52,605</w:t>
            </w:r>
          </w:p>
        </w:tc>
        <w:tc>
          <w:tcPr>
            <w:tcW w:w="2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1,526,287</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8,931,506</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(249,366)</w:t>
            </w:r>
          </w:p>
        </w:tc>
        <w:tc>
          <w:tcPr>
            <w:tcW w:w="28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 d</w:t>
            </w: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8,682,140</w:t>
            </w: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355,050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355,050</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51,359</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51,359</w:t>
            </w: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Liabilities held for sale – non-current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135,398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(135,398)</w:t>
            </w:r>
          </w:p>
        </w:tc>
        <w:tc>
          <w:tcPr>
            <w:tcW w:w="280" w:type="dxa"/>
            <w:vAlign w:val="bottom"/>
          </w:tcPr>
          <w:p>
            <w:pPr>
              <w:spacing w:after="0"/>
              <w:rPr>
                <w:sz w:val="17"/>
                <w:szCs w:val="17"/>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168,851</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168,851</w:t>
            </w: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11,115,846</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(332,159)</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10,783,687</w:t>
            </w:r>
          </w:p>
        </w:tc>
        <w:tc>
          <w:tcPr>
            <w:tcW w:w="0" w:type="dxa"/>
            <w:vAlign w:val="bottom"/>
          </w:tcPr>
          <w:p>
            <w:pPr>
              <w:spacing w:after="0"/>
              <w:rPr>
                <w:sz w:val="1"/>
                <w:szCs w:val="1"/>
                <w:color w:val="auto"/>
              </w:rPr>
            </w:pPr>
          </w:p>
        </w:tc>
      </w:tr>
      <w:tr>
        <w:trPr>
          <w:trHeight w:val="23"/>
        </w:trPr>
        <w:tc>
          <w:tcPr>
            <w:tcW w:w="2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Commitment and contingencies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2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Series B convertible preferred stock</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40,708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40,708</w:t>
            </w:r>
          </w:p>
        </w:tc>
        <w:tc>
          <w:tcPr>
            <w:tcW w:w="0" w:type="dxa"/>
            <w:vAlign w:val="bottom"/>
          </w:tcPr>
          <w:p>
            <w:pPr>
              <w:spacing w:after="0"/>
              <w:rPr>
                <w:sz w:val="1"/>
                <w:szCs w:val="1"/>
                <w:color w:val="auto"/>
              </w:rPr>
            </w:pPr>
          </w:p>
        </w:tc>
      </w:tr>
      <w:tr>
        <w:trPr>
          <w:trHeight w:val="24"/>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Class A common stock</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1,722,829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1,722,829</w:t>
            </w:r>
          </w:p>
        </w:tc>
        <w:tc>
          <w:tcPr>
            <w:tcW w:w="0" w:type="dxa"/>
            <w:vAlign w:val="bottom"/>
          </w:tcPr>
          <w:p>
            <w:pPr>
              <w:spacing w:after="0"/>
              <w:rPr>
                <w:sz w:val="1"/>
                <w:szCs w:val="1"/>
                <w:color w:val="auto"/>
              </w:rPr>
            </w:pPr>
          </w:p>
        </w:tc>
      </w:tr>
      <w:tr>
        <w:trPr>
          <w:trHeight w:val="24"/>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20" w:type="dxa"/>
            <w:vAlign w:val="bottom"/>
            <w:shd w:val="clear" w:color="auto" w:fill="CCEEFF"/>
          </w:tcPr>
          <w:p>
            <w:pPr>
              <w:spacing w:after="0"/>
              <w:rPr>
                <w:sz w:val="16"/>
                <w:szCs w:val="16"/>
                <w:color w:val="auto"/>
              </w:rPr>
            </w:pPr>
          </w:p>
        </w:tc>
        <w:tc>
          <w:tcPr>
            <w:tcW w:w="2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Retained earnings (accumulated</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deficit)</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368,856</w:t>
            </w:r>
          </w:p>
        </w:tc>
        <w:tc>
          <w:tcPr>
            <w:tcW w:w="28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w:t>
            </w:r>
          </w:p>
        </w:tc>
        <w:tc>
          <w:tcPr>
            <w:tcW w:w="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365,090</w:t>
            </w: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Accumulated other comprehensive</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income</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26,671</w:t>
            </w:r>
          </w:p>
        </w:tc>
        <w:tc>
          <w:tcPr>
            <w:tcW w:w="0" w:type="dxa"/>
            <w:vAlign w:val="bottom"/>
          </w:tcPr>
          <w:p>
            <w:pPr>
              <w:spacing w:after="0"/>
              <w:rPr>
                <w:sz w:val="1"/>
                <w:szCs w:val="1"/>
                <w:color w:val="auto"/>
              </w:rPr>
            </w:pPr>
          </w:p>
        </w:tc>
      </w:tr>
      <w:tr>
        <w:trPr>
          <w:trHeight w:val="24"/>
        </w:trPr>
        <w:tc>
          <w:tcPr>
            <w:tcW w:w="2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stockholder’s equity attributable</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5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 NFE</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1,748,472</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368,856</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2,117,328</w:t>
            </w:r>
          </w:p>
        </w:tc>
        <w:tc>
          <w:tcPr>
            <w:tcW w:w="0" w:type="dxa"/>
            <w:vAlign w:val="bottom"/>
          </w:tcPr>
          <w:p>
            <w:pPr>
              <w:spacing w:after="0"/>
              <w:rPr>
                <w:sz w:val="1"/>
                <w:szCs w:val="1"/>
                <w:color w:val="auto"/>
              </w:rPr>
            </w:pPr>
          </w:p>
        </w:tc>
      </w:tr>
      <w:tr>
        <w:trPr>
          <w:trHeight w:val="206"/>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Non-controlling interest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123,054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123,054</w:t>
            </w:r>
          </w:p>
        </w:tc>
        <w:tc>
          <w:tcPr>
            <w:tcW w:w="0" w:type="dxa"/>
            <w:vAlign w:val="bottom"/>
          </w:tcPr>
          <w:p>
            <w:pPr>
              <w:spacing w:after="0"/>
              <w:rPr>
                <w:sz w:val="1"/>
                <w:szCs w:val="1"/>
                <w:color w:val="auto"/>
              </w:rPr>
            </w:pPr>
          </w:p>
        </w:tc>
      </w:tr>
      <w:tr>
        <w:trPr>
          <w:trHeight w:val="24"/>
        </w:trPr>
        <w:tc>
          <w:tcPr>
            <w:tcW w:w="2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1,871,526</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368,856</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2,240,382</w:t>
            </w:r>
          </w:p>
        </w:tc>
        <w:tc>
          <w:tcPr>
            <w:tcW w:w="0" w:type="dxa"/>
            <w:vAlign w:val="bottom"/>
          </w:tcPr>
          <w:p>
            <w:pPr>
              <w:spacing w:after="0"/>
              <w:rPr>
                <w:sz w:val="1"/>
                <w:szCs w:val="1"/>
                <w:color w:val="auto"/>
              </w:rPr>
            </w:pPr>
          </w:p>
        </w:tc>
      </w:tr>
      <w:tr>
        <w:trPr>
          <w:trHeight w:val="171"/>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w:t>
            </w: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13,028,080</w:t>
            </w:r>
          </w:p>
        </w:tc>
        <w:tc>
          <w:tcPr>
            <w:tcW w:w="2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36,697</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13,064,777</w:t>
            </w:r>
          </w:p>
        </w:tc>
        <w:tc>
          <w:tcPr>
            <w:tcW w:w="0" w:type="dxa"/>
            <w:vAlign w:val="bottom"/>
          </w:tcPr>
          <w:p>
            <w:pPr>
              <w:spacing w:after="0"/>
              <w:rPr>
                <w:sz w:val="1"/>
                <w:szCs w:val="1"/>
                <w:color w:val="auto"/>
              </w:rPr>
            </w:pPr>
          </w:p>
        </w:tc>
      </w:tr>
      <w:tr>
        <w:trPr>
          <w:trHeight w:val="31"/>
        </w:trPr>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5" w:name="page6"/>
    <w:bookmarkEnd w:id="5"/>
    <w:p>
      <w:pPr>
        <w:ind w:left="462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Income Statement</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Historical NFE</w:t>
            </w:r>
          </w:p>
        </w:tc>
        <w:tc>
          <w:tcPr>
            <w:tcW w:w="360" w:type="dxa"/>
            <w:vAlign w:val="bottom"/>
          </w:tcPr>
          <w:p>
            <w:pPr>
              <w:spacing w:after="0"/>
              <w:rPr>
                <w:sz w:val="17"/>
                <w:szCs w:val="17"/>
                <w:color w:val="auto"/>
              </w:rPr>
            </w:pPr>
          </w:p>
        </w:tc>
        <w:tc>
          <w:tcPr>
            <w:tcW w:w="192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7"/>
                <w:szCs w:val="17"/>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80" w:type="dxa"/>
            <w:vAlign w:val="bottom"/>
          </w:tcPr>
          <w:p>
            <w:pPr>
              <w:spacing w:after="0"/>
              <w:rPr>
                <w:sz w:val="17"/>
                <w:szCs w:val="17"/>
                <w:color w:val="auto"/>
              </w:rPr>
            </w:pPr>
          </w:p>
        </w:tc>
        <w:tc>
          <w:tcPr>
            <w:tcW w:w="19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Pro Forma NFE</w:t>
            </w:r>
          </w:p>
        </w:tc>
        <w:tc>
          <w:tcPr>
            <w:tcW w:w="0" w:type="dxa"/>
            <w:vAlign w:val="bottom"/>
          </w:tcPr>
          <w:p>
            <w:pPr>
              <w:spacing w:after="0"/>
              <w:rPr>
                <w:sz w:val="1"/>
                <w:szCs w:val="1"/>
                <w:color w:val="auto"/>
              </w:rPr>
            </w:pPr>
          </w:p>
        </w:tc>
      </w:tr>
      <w:tr>
        <w:trPr>
          <w:trHeight w:val="23"/>
        </w:trPr>
        <w:tc>
          <w:tcPr>
            <w:tcW w:w="2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Operating revenue</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384,881</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(94,178)</w:t>
            </w:r>
          </w:p>
        </w:tc>
        <w:tc>
          <w:tcPr>
            <w:tcW w:w="3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290,703</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Vessel charter revenue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45,436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45,436</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revenue</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40,219</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40,219</w:t>
            </w:r>
          </w:p>
        </w:tc>
        <w:tc>
          <w:tcPr>
            <w:tcW w:w="0" w:type="dxa"/>
            <w:vAlign w:val="bottom"/>
          </w:tcPr>
          <w:p>
            <w:pPr>
              <w:spacing w:after="0"/>
              <w:rPr>
                <w:sz w:val="1"/>
                <w:szCs w:val="1"/>
                <w:color w:val="auto"/>
              </w:rPr>
            </w:pPr>
          </w:p>
        </w:tc>
      </w:tr>
      <w:tr>
        <w:trPr>
          <w:trHeight w:val="200"/>
        </w:trPr>
        <w:tc>
          <w:tcPr>
            <w:tcW w:w="2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470,536</w:t>
            </w: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(94,178)</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376,358</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Cost of sales (exclusive of depreciation</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and amortization shown separately below)</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302,377</w:t>
            </w: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(59,202)</w:t>
            </w:r>
          </w:p>
        </w:tc>
        <w:tc>
          <w:tcPr>
            <w:tcW w:w="3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243,175</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Vessel operating expenses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30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7,029</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54,957</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(10,649)</w:t>
            </w:r>
          </w:p>
        </w:tc>
        <w:tc>
          <w:tcPr>
            <w:tcW w:w="3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44,308</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30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58,100</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11,931</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11,931</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(5,692)</w:t>
            </w:r>
          </w:p>
        </w:tc>
        <w:tc>
          <w:tcPr>
            <w:tcW w:w="30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47,365</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Asset impairment expense</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99"/>
        </w:trPr>
        <w:tc>
          <w:tcPr>
            <w:tcW w:w="2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489,015</w:t>
            </w: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(76,861)</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412,154</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Operating (loss) income</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(18,479)</w:t>
            </w: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(17,317)</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(35,796)</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213,694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(11,456)</w:t>
            </w:r>
          </w:p>
        </w:tc>
        <w:tc>
          <w:tcPr>
            <w:tcW w:w="300" w:type="dxa"/>
            <w:vAlign w:val="bottom"/>
          </w:tcPr>
          <w:p>
            <w:pPr>
              <w:spacing w:after="0"/>
              <w:rPr>
                <w:sz w:val="17"/>
                <w:szCs w:val="17"/>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 h, i</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202,238</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(63,937)</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(63,980)</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Loss on extinguishment of debt, net</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(168,703)</w:t>
            </w: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(5,818)</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(174,521)</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provision (benefit)</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(25,159)</w:t>
            </w:r>
          </w:p>
        </w:tc>
        <w:tc>
          <w:tcPr>
            <w:tcW w:w="30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84"/>
              </w:rPr>
              <w:t>j</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(197,373)</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19,341</w:t>
            </w:r>
          </w:p>
        </w:tc>
        <w:tc>
          <w:tcPr>
            <w:tcW w:w="3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(178,032)</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loss attributable to non-controlling</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3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Convertible preferred stock dividend</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Net loss (income) attributable to</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(200,129)</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18,928</w:t>
            </w:r>
          </w:p>
        </w:tc>
        <w:tc>
          <w:tcPr>
            <w:tcW w:w="3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(181,201)</w:t>
            </w:r>
          </w:p>
        </w:tc>
        <w:tc>
          <w:tcPr>
            <w:tcW w:w="0" w:type="dxa"/>
            <w:vAlign w:val="bottom"/>
          </w:tcPr>
          <w:p>
            <w:pPr>
              <w:spacing w:after="0"/>
              <w:rPr>
                <w:sz w:val="1"/>
                <w:szCs w:val="1"/>
                <w:color w:val="auto"/>
              </w:rPr>
            </w:pPr>
          </w:p>
        </w:tc>
      </w:tr>
      <w:tr>
        <w:trPr>
          <w:trHeight w:val="230"/>
        </w:trPr>
        <w:tc>
          <w:tcPr>
            <w:tcW w:w="256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loss per share – basic</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0" w:type="dxa"/>
            <w:vAlign w:val="bottom"/>
          </w:tcPr>
          <w:p>
            <w:pPr>
              <w:spacing w:after="0"/>
              <w:rPr>
                <w:sz w:val="1"/>
                <w:szCs w:val="1"/>
                <w:color w:val="auto"/>
              </w:rPr>
            </w:pPr>
          </w:p>
        </w:tc>
      </w:tr>
      <w:tr>
        <w:trPr>
          <w:trHeight w:val="236"/>
        </w:trPr>
        <w:tc>
          <w:tcPr>
            <w:tcW w:w="2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Net loss per share – diluted</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 average number of shares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outstanding – basic</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273,609,766</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273,609,766</w:t>
            </w:r>
          </w:p>
        </w:tc>
        <w:tc>
          <w:tcPr>
            <w:tcW w:w="0" w:type="dxa"/>
            <w:vAlign w:val="bottom"/>
          </w:tcPr>
          <w:p>
            <w:pPr>
              <w:spacing w:after="0"/>
              <w:rPr>
                <w:sz w:val="1"/>
                <w:szCs w:val="1"/>
                <w:color w:val="auto"/>
              </w:rPr>
            </w:pPr>
          </w:p>
        </w:tc>
      </w:tr>
      <w:tr>
        <w:trPr>
          <w:trHeight w:val="30"/>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 average number of shares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outstanding – diluted</w:t>
            </w: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273,609,766</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273,609,766</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6" w:name="page7"/>
    <w:bookmarkEnd w:id="6"/>
    <w:p>
      <w:pPr>
        <w:ind w:left="462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Income Statement</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Historical NFE</w:t>
            </w:r>
          </w:p>
        </w:tc>
        <w:tc>
          <w:tcPr>
            <w:tcW w:w="360" w:type="dxa"/>
            <w:vAlign w:val="bottom"/>
          </w:tcPr>
          <w:p>
            <w:pPr>
              <w:spacing w:after="0"/>
              <w:rPr>
                <w:sz w:val="17"/>
                <w:szCs w:val="17"/>
                <w:color w:val="auto"/>
              </w:rPr>
            </w:pPr>
          </w:p>
        </w:tc>
        <w:tc>
          <w:tcPr>
            <w:tcW w:w="192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7"/>
                <w:szCs w:val="17"/>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80" w:type="dxa"/>
            <w:vAlign w:val="bottom"/>
          </w:tcPr>
          <w:p>
            <w:pPr>
              <w:spacing w:after="0"/>
              <w:rPr>
                <w:sz w:val="17"/>
                <w:szCs w:val="17"/>
                <w:color w:val="auto"/>
              </w:rPr>
            </w:pPr>
          </w:p>
        </w:tc>
        <w:tc>
          <w:tcPr>
            <w:tcW w:w="19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Pro Forma NFE</w:t>
            </w:r>
          </w:p>
        </w:tc>
        <w:tc>
          <w:tcPr>
            <w:tcW w:w="0" w:type="dxa"/>
            <w:vAlign w:val="bottom"/>
          </w:tcPr>
          <w:p>
            <w:pPr>
              <w:spacing w:after="0"/>
              <w:rPr>
                <w:sz w:val="1"/>
                <w:szCs w:val="1"/>
                <w:color w:val="auto"/>
              </w:rPr>
            </w:pPr>
          </w:p>
        </w:tc>
      </w:tr>
      <w:tr>
        <w:trPr>
          <w:trHeight w:val="23"/>
        </w:trPr>
        <w:tc>
          <w:tcPr>
            <w:tcW w:w="2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Operating revenue</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1,698,348</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(357,519)</w:t>
            </w:r>
          </w:p>
        </w:tc>
        <w:tc>
          <w:tcPr>
            <w:tcW w:w="3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1,340,829</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Vessel charter revenue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212,609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212,609</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 novation income</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295,558</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295,558</w:t>
            </w:r>
          </w:p>
        </w:tc>
        <w:tc>
          <w:tcPr>
            <w:tcW w:w="0" w:type="dxa"/>
            <w:vAlign w:val="bottom"/>
          </w:tcPr>
          <w:p>
            <w:pPr>
              <w:spacing w:after="0"/>
              <w:rPr>
                <w:sz w:val="1"/>
                <w:szCs w:val="1"/>
                <w:color w:val="auto"/>
              </w:rPr>
            </w:pPr>
          </w:p>
        </w:tc>
      </w:tr>
      <w:tr>
        <w:trPr>
          <w:trHeight w:val="206"/>
        </w:trPr>
        <w:tc>
          <w:tcPr>
            <w:tcW w:w="2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revenue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158,345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158,345</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2,364,860</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(357,519)</w:t>
            </w:r>
          </w:p>
        </w:tc>
        <w:tc>
          <w:tcPr>
            <w:tcW w:w="3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2,007,341</w:t>
            </w:r>
          </w:p>
        </w:tc>
        <w:tc>
          <w:tcPr>
            <w:tcW w:w="0" w:type="dxa"/>
            <w:vAlign w:val="bottom"/>
          </w:tcPr>
          <w:p>
            <w:pPr>
              <w:spacing w:after="0"/>
              <w:rPr>
                <w:sz w:val="1"/>
                <w:szCs w:val="1"/>
                <w:color w:val="auto"/>
              </w:rPr>
            </w:pPr>
          </w:p>
        </w:tc>
      </w:tr>
      <w:tr>
        <w:trPr>
          <w:trHeight w:val="183"/>
        </w:trPr>
        <w:tc>
          <w:tcPr>
            <w:tcW w:w="25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Cost of sales (exclusive of depreciation</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and amortization shown separately below)</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1,064,667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(242,185)</w:t>
            </w:r>
          </w:p>
        </w:tc>
        <w:tc>
          <w:tcPr>
            <w:tcW w:w="30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822,482</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Vessel operating expenses</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33,372</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3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33,033</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174,313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(33,979)</w:t>
            </w:r>
          </w:p>
        </w:tc>
        <w:tc>
          <w:tcPr>
            <w:tcW w:w="30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140,334</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285,520</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(10,355)</w:t>
            </w:r>
          </w:p>
        </w:tc>
        <w:tc>
          <w:tcPr>
            <w:tcW w:w="3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275,165</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45,168</w:t>
            </w:r>
          </w:p>
        </w:tc>
        <w:tc>
          <w:tcPr>
            <w:tcW w:w="30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 f</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57,447</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162,014</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(23,149)</w:t>
            </w:r>
          </w:p>
        </w:tc>
        <w:tc>
          <w:tcPr>
            <w:tcW w:w="3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138,865</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Asset impairment expense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Loss (gain) on sale of assets, net</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77,562</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(488,260)</w:t>
            </w:r>
          </w:p>
        </w:tc>
        <w:tc>
          <w:tcPr>
            <w:tcW w:w="3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k</w:t>
            </w:r>
          </w:p>
        </w:tc>
        <w:tc>
          <w:tcPr>
            <w:tcW w:w="3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(410,698)</w:t>
            </w:r>
          </w:p>
        </w:tc>
        <w:tc>
          <w:tcPr>
            <w:tcW w:w="0" w:type="dxa"/>
            <w:vAlign w:val="bottom"/>
          </w:tcPr>
          <w:p>
            <w:pPr>
              <w:spacing w:after="0"/>
              <w:rPr>
                <w:sz w:val="1"/>
                <w:szCs w:val="1"/>
                <w:color w:val="auto"/>
              </w:rPr>
            </w:pPr>
          </w:p>
        </w:tc>
      </w:tr>
      <w:tr>
        <w:trPr>
          <w:trHeight w:val="199"/>
        </w:trPr>
        <w:tc>
          <w:tcPr>
            <w:tcW w:w="2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1,826,221</w:t>
            </w: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(753,099)</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1,073,122</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538,639</w:t>
            </w: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395,580</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934,219</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328,377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(39,044)</w:t>
            </w:r>
          </w:p>
        </w:tc>
        <w:tc>
          <w:tcPr>
            <w:tcW w:w="300" w:type="dxa"/>
            <w:vAlign w:val="bottom"/>
          </w:tcPr>
          <w:p>
            <w:pPr>
              <w:spacing w:after="0"/>
              <w:rPr>
                <w:sz w:val="17"/>
                <w:szCs w:val="17"/>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 h, i</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289,333</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113,077</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3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111,872</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Loss on extinguishment of debt, net</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270,063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10,006</w:t>
            </w:r>
          </w:p>
        </w:tc>
        <w:tc>
          <w:tcPr>
            <w:tcW w:w="30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280,069</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(Loss) income before income taxes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(172,878)</w:t>
            </w: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425,823</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252,945</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provision</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69,509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61,641</w:t>
            </w:r>
          </w:p>
        </w:tc>
        <w:tc>
          <w:tcPr>
            <w:tcW w:w="30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84"/>
              </w:rPr>
              <w:t>j</w:t>
            </w: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131,150</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(242,387)</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364,182</w:t>
            </w:r>
          </w:p>
        </w:tc>
        <w:tc>
          <w:tcPr>
            <w:tcW w:w="3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121,795</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loss attributable to non-controlling</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(6,652)</w:t>
            </w: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(6,695)</w:t>
            </w:r>
          </w:p>
        </w:tc>
        <w:tc>
          <w:tcPr>
            <w:tcW w:w="0" w:type="dxa"/>
            <w:vAlign w:val="bottom"/>
          </w:tcPr>
          <w:p>
            <w:pPr>
              <w:spacing w:after="0"/>
              <w:rPr>
                <w:sz w:val="1"/>
                <w:szCs w:val="1"/>
                <w:color w:val="auto"/>
              </w:rPr>
            </w:pPr>
          </w:p>
        </w:tc>
      </w:tr>
      <w:tr>
        <w:trPr>
          <w:trHeight w:val="206"/>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Convertible preferred stock dividend</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Deemed dividend from the preferred</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stock exchange</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(17,605)</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(17,605)</w:t>
            </w:r>
          </w:p>
        </w:tc>
        <w:tc>
          <w:tcPr>
            <w:tcW w:w="0" w:type="dxa"/>
            <w:vAlign w:val="bottom"/>
          </w:tcPr>
          <w:p>
            <w:pPr>
              <w:spacing w:after="0"/>
              <w:rPr>
                <w:sz w:val="1"/>
                <w:szCs w:val="1"/>
                <w:color w:val="auto"/>
              </w:rPr>
            </w:pPr>
          </w:p>
        </w:tc>
      </w:tr>
      <w:tr>
        <w:trPr>
          <w:trHeight w:val="171"/>
        </w:trPr>
        <w:tc>
          <w:tcPr>
            <w:tcW w:w="2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Net (loss) income attributable to</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(270,106)</w:t>
            </w:r>
          </w:p>
        </w:tc>
        <w:tc>
          <w:tcPr>
            <w:tcW w:w="2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364,139</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94,033</w:t>
            </w:r>
          </w:p>
        </w:tc>
        <w:tc>
          <w:tcPr>
            <w:tcW w:w="0" w:type="dxa"/>
            <w:vAlign w:val="bottom"/>
          </w:tcPr>
          <w:p>
            <w:pPr>
              <w:spacing w:after="0"/>
              <w:rPr>
                <w:sz w:val="1"/>
                <w:szCs w:val="1"/>
                <w:color w:val="auto"/>
              </w:rPr>
            </w:pPr>
          </w:p>
        </w:tc>
      </w:tr>
      <w:tr>
        <w:trPr>
          <w:trHeight w:val="30"/>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Net (loss) income per share – basic</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(loss) income per share – diluted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 average number of shares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outstanding – basic</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217,578,487</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217,578,487</w:t>
            </w:r>
          </w:p>
        </w:tc>
        <w:tc>
          <w:tcPr>
            <w:tcW w:w="0" w:type="dxa"/>
            <w:vAlign w:val="bottom"/>
          </w:tcPr>
          <w:p>
            <w:pPr>
              <w:spacing w:after="0"/>
              <w:rPr>
                <w:sz w:val="1"/>
                <w:szCs w:val="1"/>
                <w:color w:val="auto"/>
              </w:rPr>
            </w:pPr>
          </w:p>
        </w:tc>
      </w:tr>
      <w:tr>
        <w:trPr>
          <w:trHeight w:val="167"/>
        </w:trPr>
        <w:tc>
          <w:tcPr>
            <w:tcW w:w="256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Weighted average number of shares</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outstanding – diluted</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218,622,419</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218,622,419</w:t>
            </w:r>
          </w:p>
        </w:tc>
        <w:tc>
          <w:tcPr>
            <w:tcW w:w="0" w:type="dxa"/>
            <w:vAlign w:val="bottom"/>
          </w:tcPr>
          <w:p>
            <w:pPr>
              <w:spacing w:after="0"/>
              <w:rPr>
                <w:sz w:val="1"/>
                <w:szCs w:val="1"/>
                <w:color w:val="auto"/>
              </w:rPr>
            </w:pPr>
          </w:p>
        </w:tc>
      </w:tr>
      <w:tr>
        <w:trPr>
          <w:trHeight w:val="30"/>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4" w:right="339" w:bottom="1440" w:gutter="0" w:footer="0" w:header="0"/>
        </w:sectPr>
      </w:pPr>
    </w:p>
    <w:bookmarkStart w:id="7" w:name="page8"/>
    <w:bookmarkEnd w:id="7"/>
    <w:p>
      <w:pPr>
        <w:ind w:right="1260" w:firstLine="1255"/>
        <w:spacing w:after="0" w:line="432" w:lineRule="auto"/>
        <w:rPr>
          <w:sz w:val="20"/>
          <w:szCs w:val="20"/>
          <w:color w:val="auto"/>
        </w:rPr>
      </w:pPr>
      <w:r>
        <w:rPr>
          <w:rFonts w:ascii="Times New Roman" w:cs="Times New Roman" w:eastAsia="Times New Roman" w:hAnsi="Times New Roman"/>
          <w:sz w:val="18"/>
          <w:szCs w:val="18"/>
          <w:b w:val="1"/>
          <w:bCs w:val="1"/>
          <w:color w:val="auto"/>
        </w:rPr>
        <w:t>NOTES TO THE UNAUDITED PRO FORMA CONDENSED CONSOLIDATED FINANCIAL INFORMATION Note 1 – Basis of Presentation</w:t>
      </w:r>
    </w:p>
    <w:p>
      <w:pPr>
        <w:spacing w:after="0" w:line="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The pro forma financial statements are based on the historical consolidated financial statements of the Company as adjusted to give effect to the Transaction. The unaudited pro forma condensed consolidated balance sheet as of March 31, 2025 gives effect to the Transaction as if it were completed on March 31, 2025. The unaudited pro forma condensed consolidated income statements for the three months ended March 31, 2025 and for the year ended December 31, 2024 give effect to the Transaction as if it were completed on January 1, 2024.</w:t>
      </w:r>
    </w:p>
    <w:p>
      <w:pPr>
        <w:spacing w:after="0" w:line="10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The Transaction and the related adjustments are described in the accompanying notes to the pro forma financial statements. In the opinion of the Company’s management, all material adjustments have been made that are necessary to present fairly, in accordance with Regulation S-X Article 11, Pro Forma Financial Information. The pro forma financial statements do not purport to be indicative of the financial position or results of operations of the Company that would have occurred if the Transaction had occurred on the dates indicated, nor are they indicative of the Company’s future financial position or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Transaction Accounting Adjustments</w:t>
      </w:r>
    </w:p>
    <w:p>
      <w:pPr>
        <w:spacing w:after="0" w:line="1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transaction accounting adjustments are based on estimates and assumptions that the Company’s management believes are reasonable. These transaction accounting adjustments include those adjustments that are directly attributable to the Transaction and factually supportable. These transaction accounting adjustments are described below:</w:t>
      </w:r>
    </w:p>
    <w:p>
      <w:pPr>
        <w:spacing w:after="0" w:line="9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assets, liabilities and results of operations of the Jamaica Business.</w:t>
      </w:r>
    </w:p>
    <w:p>
      <w:pPr>
        <w:spacing w:after="0" w:line="27" w:lineRule="exact"/>
        <w:rPr>
          <w:rFonts w:ascii="Times New Roman" w:cs="Times New Roman" w:eastAsia="Times New Roman" w:hAnsi="Times New Roman"/>
          <w:sz w:val="18"/>
          <w:szCs w:val="18"/>
          <w:color w:val="auto"/>
        </w:rPr>
      </w:pPr>
    </w:p>
    <w:p>
      <w:pPr>
        <w:ind w:left="660" w:right="60" w:hanging="328"/>
        <w:spacing w:after="0" w:line="259"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$956.5 million of estimated cash consideration, representing the gross sales price of $1,055.0 million less cash in escrow receivable after the closing date of $98.6 million plus contractual adjustments of $0.1 million. A portion of the escrow receivable, $43.6 million, is expected to be received in less than 12 months after the Transaction and is presented in Prepaid expenses and other current assets, net. The remaining portion of the escrow receivable, $55.0 million, is expected to be received in over 12 months after the Transaction and presented in Other non-current assets, net.</w:t>
      </w:r>
    </w:p>
    <w:p>
      <w:pPr>
        <w:spacing w:after="0" w:line="3" w:lineRule="exact"/>
        <w:rPr>
          <w:rFonts w:ascii="Times New Roman" w:cs="Times New Roman" w:eastAsia="Times New Roman" w:hAnsi="Times New Roman"/>
          <w:sz w:val="18"/>
          <w:szCs w:val="18"/>
          <w:color w:val="auto"/>
        </w:rPr>
      </w:pPr>
    </w:p>
    <w:p>
      <w:pPr>
        <w:ind w:left="660" w:right="700" w:hanging="328"/>
        <w:spacing w:after="0" w:line="258"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total repayment of South Power Bonds of $224.1 million, including the debt’s carrying amount of $218.1 million and loss on extinguishment of debt of $6.0 million, as a condition of closing the Transaction.</w:t>
      </w:r>
    </w:p>
    <w:p>
      <w:pPr>
        <w:ind w:left="660" w:right="140" w:hanging="328"/>
        <w:spacing w:after="0" w:line="271"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total repayment of $55.0 million of NFE's Term Loan A ("TLA"), which is a required use of proceeds under our recently amended TLA credit agreement. The adjustment eliminates the debt's carrying amount of $51.0 million and recognizes a loss on extinguishment of debt of $4.0 million.</w:t>
      </w:r>
    </w:p>
    <w:p>
      <w:pPr>
        <w:spacing w:after="0" w:line="104" w:lineRule="exact"/>
        <w:rPr>
          <w:rFonts w:ascii="Times New Roman" w:cs="Times New Roman" w:eastAsia="Times New Roman" w:hAnsi="Times New Roman"/>
          <w:sz w:val="18"/>
          <w:szCs w:val="18"/>
          <w:color w:val="auto"/>
        </w:rPr>
      </w:pPr>
    </w:p>
    <w:p>
      <w:pPr>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completion of the Transaction, the Company entered into the Twelfth Amendment to Credit Agreement (the “Twelfth Amendment”) which amends that certain Credit Agreement, dated as of April 15, 2021 (as amended, restated or otherwise modified from time to time, the “Existing RCF” and the Existing RCF as amended by the Twelfth Amendment, the “Amended RCF”), by and among the Company, as the borrower, the guarantors from time to time party thereto, the several lenders and issuing banks from time to time party thereto, and MUFG Bank Ltd., as administrative agent and as collateral agent. Among other things, the Twelfth Amendment waives the requirement that the Company pay 75% of net proceeds from certain asset sales to repay indebtedness, allowing the Company to apply $270.0 million of proceeds from the sale of the Jamaica Business to the extended tranche of the Existing RCF prior to September 30, 2025, when such amount was due.</w:t>
      </w:r>
    </w:p>
    <w:p>
      <w:pPr>
        <w:spacing w:after="0" w:line="95" w:lineRule="exact"/>
        <w:rPr>
          <w:rFonts w:ascii="Times New Roman" w:cs="Times New Roman" w:eastAsia="Times New Roman" w:hAnsi="Times New Roman"/>
          <w:sz w:val="18"/>
          <w:szCs w:val="18"/>
          <w:color w:val="auto"/>
        </w:rPr>
      </w:pPr>
    </w:p>
    <w:p>
      <w:pPr>
        <w:ind w:left="660" w:right="100"/>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the Company repaid $275.0 million of outstanding principal under the Existing RCF. Upon closing the Transaction, commitments under the Amended RCF were permanently reduced by the $270.0 million, and as such, no cash outflow to repay amounts under the Amended RCF have been shown in these pro forma financial statements. No transaction accounting adjustment is reflected in the pro forma condensed consolidated balance sheet, as the debt was not outstanding as of March 31, 2025.</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of $1.2 million to Deferred tax assets, net and $63.0 million to Other current liabilities for tax purposes.</w:t>
      </w:r>
    </w:p>
    <w:p>
      <w:pPr>
        <w:spacing w:after="0" w:line="7" w:lineRule="exact"/>
        <w:rPr>
          <w:rFonts w:ascii="Times New Roman" w:cs="Times New Roman" w:eastAsia="Times New Roman" w:hAnsi="Times New Roman"/>
          <w:sz w:val="18"/>
          <w:szCs w:val="18"/>
          <w:color w:val="auto"/>
        </w:rPr>
      </w:pPr>
    </w:p>
    <w:p>
      <w:pPr>
        <w:ind w:left="660" w:right="220" w:hanging="328"/>
        <w:spacing w:after="0" w:line="255" w:lineRule="auto"/>
        <w:tabs>
          <w:tab w:leader="none" w:pos="6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March 31, 2025, NFE anticipates it will incur additional non-recurring costs of approximately $45.2 million to complete the Transaction. These costs primarily relate to fees associated with transferring certain contracts and professional fees associated with Transaction. All costs are expected to be incurred within one year from the closing of the Transaction. These costs are reflected as an accrual</w:t>
      </w:r>
    </w:p>
    <w:p>
      <w:pPr>
        <w:sectPr>
          <w:pgSz w:w="11900" w:h="16838" w:orient="portrait"/>
          <w:cols w:equalWidth="0" w:num="1">
            <w:col w:w="11240"/>
          </w:cols>
          <w:pgMar w:left="320" w:top="1035" w:right="339" w:bottom="1440" w:gutter="0" w:footer="0" w:header="0"/>
        </w:sectPr>
      </w:pPr>
    </w:p>
    <w:bookmarkStart w:id="8" w:name="page9"/>
    <w:bookmarkEnd w:id="8"/>
    <w:p>
      <w:pPr>
        <w:ind w:left="328" w:right="60"/>
        <w:spacing w:after="0" w:line="261" w:lineRule="auto"/>
        <w:rPr>
          <w:sz w:val="20"/>
          <w:szCs w:val="20"/>
          <w:color w:val="auto"/>
        </w:rPr>
      </w:pPr>
      <w:r>
        <w:rPr>
          <w:rFonts w:ascii="Times New Roman" w:cs="Times New Roman" w:eastAsia="Times New Roman" w:hAnsi="Times New Roman"/>
          <w:sz w:val="18"/>
          <w:szCs w:val="18"/>
          <w:color w:val="auto"/>
        </w:rPr>
        <w:t>within Accrued liabilities and additional costs within Transaction and integration costs in the pro forma condensed consolidated income statement for the year ended December 31, 2024.</w:t>
      </w:r>
    </w:p>
    <w:p>
      <w:pPr>
        <w:ind w:left="308" w:hanging="308"/>
        <w:spacing w:after="0"/>
        <w:tabs>
          <w:tab w:leader="none" w:pos="3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effect to Retained Earnings of the transaction accounting adjustments described in (a) through (f) above.</w:t>
      </w:r>
    </w:p>
    <w:p>
      <w:pPr>
        <w:spacing w:after="0" w:line="9" w:lineRule="exact"/>
        <w:rPr>
          <w:rFonts w:ascii="Times New Roman" w:cs="Times New Roman" w:eastAsia="Times New Roman" w:hAnsi="Times New Roman"/>
          <w:sz w:val="18"/>
          <w:szCs w:val="18"/>
          <w:color w:val="auto"/>
        </w:rPr>
      </w:pPr>
    </w:p>
    <w:p>
      <w:pPr>
        <w:ind w:left="328" w:right="320" w:hanging="328"/>
        <w:spacing w:after="0" w:line="266" w:lineRule="auto"/>
        <w:tabs>
          <w:tab w:leader="none" w:pos="3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in interest expense of $3.8 million and $15.4 million to give effect to the estimated repayment of South Power Bonds as described in (c) above for the three months ended March 31, 2025 and the year ended December 31, 2024, respectively.</w:t>
      </w:r>
    </w:p>
    <w:p>
      <w:pPr>
        <w:ind w:left="328" w:hanging="328"/>
        <w:spacing w:after="0"/>
        <w:tabs>
          <w:tab w:leader="none" w:pos="3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reduction in interest expense of $7.7 million and $23.6 million to give effect to the estimated repayment of NFE's TLA as described in</w:t>
      </w:r>
    </w:p>
    <w:p>
      <w:pPr>
        <w:spacing w:after="0" w:line="20" w:lineRule="exact"/>
        <w:rPr>
          <w:rFonts w:ascii="Times New Roman" w:cs="Times New Roman" w:eastAsia="Times New Roman" w:hAnsi="Times New Roman"/>
          <w:sz w:val="17"/>
          <w:szCs w:val="17"/>
          <w:color w:val="auto"/>
        </w:rPr>
      </w:pPr>
    </w:p>
    <w:p>
      <w:pPr>
        <w:ind w:left="588" w:hanging="264"/>
        <w:spacing w:after="0"/>
        <w:tabs>
          <w:tab w:leader="none" w:pos="58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the three months ended March 31, 2025 and the year ended December 31, 2024, respectively.</w:t>
      </w:r>
    </w:p>
    <w:p>
      <w:pPr>
        <w:spacing w:after="0" w:line="9" w:lineRule="exact"/>
        <w:rPr>
          <w:rFonts w:ascii="Times New Roman" w:cs="Times New Roman" w:eastAsia="Times New Roman" w:hAnsi="Times New Roman"/>
          <w:sz w:val="18"/>
          <w:szCs w:val="18"/>
          <w:color w:val="auto"/>
        </w:rPr>
      </w:pPr>
    </w:p>
    <w:p>
      <w:pPr>
        <w:ind w:left="328" w:right="20" w:hanging="328"/>
        <w:spacing w:after="0" w:line="226" w:lineRule="auto"/>
        <w:tabs>
          <w:tab w:leader="none" w:pos="3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Tax provision (benefit) of $(25.2) million and $61.6 million based on the transaction adjustments made from a pre-tax perspective. The increase in tax for the December 31, 2024 period and decrease in tax for the March 31, 2025 period primarily relates to the removal of the gain on sale on the Transaction from the estimated annual effective tax rate in the historical March 31, 2025 period and inclusion in the December 31, 2024 period.</w:t>
      </w:r>
    </w:p>
    <w:p>
      <w:pPr>
        <w:spacing w:after="0" w:line="3" w:lineRule="exact"/>
        <w:rPr>
          <w:rFonts w:ascii="Times New Roman" w:cs="Times New Roman" w:eastAsia="Times New Roman" w:hAnsi="Times New Roman"/>
          <w:sz w:val="18"/>
          <w:szCs w:val="18"/>
          <w:color w:val="auto"/>
        </w:rPr>
      </w:pPr>
    </w:p>
    <w:p>
      <w:pPr>
        <w:ind w:left="328" w:right="400" w:hanging="328"/>
        <w:spacing w:after="0" w:line="250" w:lineRule="auto"/>
        <w:tabs>
          <w:tab w:leader="none" w:pos="3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pre-tax gain in connection with the Transaction of $488.3 million. This non-recurring activity is included within in the pro forma condensed consolidated income statement for the year ended December 31, 2024.</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loss on extinguishment of debt of $10.0 million in connection with the repayment of the South Power Bonds and TLA as described in</w:t>
      </w:r>
    </w:p>
    <w:p>
      <w:pPr>
        <w:spacing w:after="0" w:line="22" w:lineRule="exact"/>
        <w:rPr>
          <w:rFonts w:ascii="Times New Roman" w:cs="Times New Roman" w:eastAsia="Times New Roman" w:hAnsi="Times New Roman"/>
          <w:sz w:val="18"/>
          <w:szCs w:val="18"/>
          <w:color w:val="auto"/>
        </w:rPr>
      </w:pPr>
    </w:p>
    <w:p>
      <w:pPr>
        <w:ind w:left="568" w:hanging="244"/>
        <w:spacing w:after="0"/>
        <w:tabs>
          <w:tab w:leader="none" w:pos="5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above, included within the pro forma condensed consolidated income statement for the year ended December 31, 2024.</w:t>
      </w:r>
    </w:p>
    <w:sectPr>
      <w:pgSz w:w="11900" w:h="16838" w:orient="portrait"/>
      <w:cols w:equalWidth="0" w:num="1">
        <w:col w:w="10888"/>
      </w:cols>
      <w:pgMar w:left="652" w:top="64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7"/>
    </w:lvl>
    <w:lvl w:ilvl="1">
      <w:lvlJc w:val="left"/>
      <w:lvlText w:val="(%2)"/>
      <w:numFmt w:val="lowerLetter"/>
      <w:start w:val="4"/>
    </w:lvl>
  </w:abstractNum>
  <w:abstractNum w:abstractNumId="4">
    <w:nsid w:val="46E87CCD"/>
    <w:multiLevelType w:val="hybridMultilevel"/>
    <w:lvl w:ilvl="0">
      <w:lvlJc w:val="left"/>
      <w:lvlText w:val="%1"/>
      <w:numFmt w:val="lowerLetter"/>
      <w:start w:val="1"/>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2025-05-21T05:10:31Z</dcterms:created>
  <dcterms:modified xsi:type="dcterms:W3CDTF">2025-05-21T05:10:31Z</dcterms:modified>
</cp:coreProperties>
</file>