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544830</wp:posOffset>
            </wp:positionV>
            <wp:extent cx="63373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21" w:lineRule="exact"/>
        <w:rPr>
          <w:sz w:val="24"/>
          <w:szCs w:val="24"/>
          <w:color w:val="auto"/>
        </w:rPr>
      </w:pPr>
    </w:p>
    <w:p>
      <w:pPr>
        <w:ind w:left="440" w:right="40" w:hanging="397"/>
        <w:spacing w:after="0" w:line="273" w:lineRule="auto"/>
        <w:tabs>
          <w:tab w:leader="none" w:pos="44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81" w:lineRule="exact"/>
        <w:rPr>
          <w:sz w:val="24"/>
          <w:szCs w:val="24"/>
          <w:color w:val="auto"/>
        </w:rPr>
      </w:pPr>
    </w:p>
    <w:p>
      <w:pPr>
        <w:ind w:left="440" w:right="40" w:hanging="397"/>
        <w:spacing w:after="0" w:line="273" w:lineRule="auto"/>
        <w:tabs>
          <w:tab w:leader="none" w:pos="44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4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 to_______</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Commission File Number: 001-38790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New Fortress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266"/>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460" w:type="dxa"/>
            <w:vAlign w:val="bottom"/>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83-1482060</w:t>
            </w:r>
          </w:p>
        </w:tc>
      </w:tr>
      <w:tr>
        <w:trPr>
          <w:trHeight w:val="300"/>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w w:val="99"/>
              </w:rPr>
              <w:t>(State or other jurisdiction of incorporation or organization)</w:t>
            </w:r>
          </w:p>
        </w:tc>
        <w:tc>
          <w:tcPr>
            <w:tcW w:w="346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443"/>
        </w:trPr>
        <w:tc>
          <w:tcPr>
            <w:tcW w:w="5320" w:type="dxa"/>
            <w:vAlign w:val="bottom"/>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9"/>
              </w:rPr>
              <w:t>111 W. 19th Street, 8th Floor</w:t>
            </w:r>
          </w:p>
        </w:tc>
        <w:tc>
          <w:tcPr>
            <w:tcW w:w="3460" w:type="dxa"/>
            <w:vAlign w:val="bottom"/>
          </w:tcPr>
          <w:p>
            <w:pPr>
              <w:spacing w:after="0"/>
              <w:rPr>
                <w:sz w:val="24"/>
                <w:szCs w:val="24"/>
                <w:color w:val="auto"/>
              </w:rPr>
            </w:pPr>
          </w:p>
        </w:tc>
      </w:tr>
      <w:tr>
        <w:trPr>
          <w:trHeight w:val="272"/>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New York, NY</w:t>
            </w:r>
          </w:p>
        </w:tc>
        <w:tc>
          <w:tcPr>
            <w:tcW w:w="3460" w:type="dxa"/>
            <w:vAlign w:val="bottom"/>
          </w:tcPr>
          <w:p>
            <w:pPr>
              <w:jc w:val="right"/>
              <w:ind w:right="1100"/>
              <w:spacing w:after="0"/>
              <w:rPr>
                <w:sz w:val="20"/>
                <w:szCs w:val="20"/>
                <w:color w:val="auto"/>
              </w:rPr>
            </w:pPr>
            <w:r>
              <w:rPr>
                <w:rFonts w:ascii="Times New Roman" w:cs="Times New Roman" w:eastAsia="Times New Roman" w:hAnsi="Times New Roman"/>
                <w:sz w:val="20"/>
                <w:szCs w:val="20"/>
                <w:b w:val="1"/>
                <w:bCs w:val="1"/>
                <w:color w:val="auto"/>
              </w:rPr>
              <w:t>10011</w:t>
            </w:r>
          </w:p>
        </w:tc>
      </w:tr>
      <w:tr>
        <w:trPr>
          <w:trHeight w:val="300"/>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3460" w:type="dxa"/>
            <w:vAlign w:val="bottom"/>
          </w:tcPr>
          <w:p>
            <w:pPr>
              <w:jc w:val="center"/>
              <w:ind w:left="480"/>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(516) 268-7400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393"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260" w:type="dxa"/>
            <w:vAlign w:val="bottom"/>
            <w:gridSpan w:val="2"/>
            <w:vMerge w:val="restart"/>
          </w:tcPr>
          <w:p>
            <w:pPr>
              <w:jc w:val="center"/>
              <w:ind w:right="1820"/>
              <w:spacing w:after="0"/>
              <w:rPr>
                <w:sz w:val="20"/>
                <w:szCs w:val="20"/>
                <w:color w:val="auto"/>
              </w:rPr>
            </w:pPr>
            <w:r>
              <w:rPr>
                <w:rFonts w:ascii="Times New Roman" w:cs="Times New Roman" w:eastAsia="Times New Roman" w:hAnsi="Times New Roman"/>
                <w:sz w:val="20"/>
                <w:szCs w:val="20"/>
                <w:color w:val="auto"/>
                <w:w w:val="99"/>
              </w:rPr>
              <w:t>Title of each class</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1180" w:type="dxa"/>
            <w:vAlign w:val="bottom"/>
          </w:tcPr>
          <w:p>
            <w:pPr>
              <w:spacing w:after="0"/>
              <w:rPr>
                <w:sz w:val="19"/>
                <w:szCs w:val="19"/>
                <w:color w:val="auto"/>
              </w:rPr>
            </w:pPr>
          </w:p>
        </w:tc>
        <w:tc>
          <w:tcPr>
            <w:tcW w:w="27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Name of each exchange on which</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gridSpan w:val="2"/>
          </w:tcPr>
          <w:p>
            <w:pPr>
              <w:jc w:val="center"/>
              <w:ind w:right="1000"/>
              <w:spacing w:after="0" w:line="180" w:lineRule="exact"/>
              <w:rPr>
                <w:sz w:val="20"/>
                <w:szCs w:val="20"/>
                <w:color w:val="auto"/>
              </w:rPr>
            </w:pPr>
            <w:r>
              <w:rPr>
                <w:rFonts w:ascii="Times New Roman" w:cs="Times New Roman" w:eastAsia="Times New Roman" w:hAnsi="Times New Roman"/>
                <w:sz w:val="20"/>
                <w:szCs w:val="20"/>
                <w:color w:val="auto"/>
              </w:rPr>
              <w:t>registered</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500" w:type="dxa"/>
            <w:vAlign w:val="bottom"/>
            <w:gridSpan w:val="3"/>
          </w:tcPr>
          <w:p>
            <w:pPr>
              <w:jc w:val="center"/>
              <w:ind w:right="1580"/>
              <w:spacing w:after="0"/>
              <w:rPr>
                <w:sz w:val="20"/>
                <w:szCs w:val="20"/>
                <w:color w:val="auto"/>
              </w:rPr>
            </w:pPr>
            <w:r>
              <w:rPr>
                <w:rFonts w:ascii="Times New Roman" w:cs="Times New Roman" w:eastAsia="Times New Roman" w:hAnsi="Times New Roman"/>
                <w:sz w:val="20"/>
                <w:szCs w:val="20"/>
                <w:b w:val="1"/>
                <w:bCs w:val="1"/>
                <w:color w:val="auto"/>
                <w:w w:val="99"/>
              </w:rPr>
              <w:t>Class A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NFE</w:t>
            </w:r>
          </w:p>
        </w:tc>
        <w:tc>
          <w:tcPr>
            <w:tcW w:w="1180" w:type="dxa"/>
            <w:vAlign w:val="bottom"/>
          </w:tcPr>
          <w:p>
            <w:pPr>
              <w:spacing w:after="0"/>
              <w:rPr>
                <w:sz w:val="24"/>
                <w:szCs w:val="24"/>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Nasdaq Global Select Market</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Securities registered pursuant to Section 12(g) of the Act: </w:t>
      </w:r>
      <w:r>
        <w:rPr>
          <w:rFonts w:ascii="Times New Roman" w:cs="Times New Roman" w:eastAsia="Times New Roman" w:hAnsi="Times New Roman"/>
          <w:sz w:val="20"/>
          <w:szCs w:val="20"/>
          <w:color w:val="auto"/>
        </w:rPr>
        <w:t>None</w:t>
      </w:r>
    </w:p>
    <w:p>
      <w:pPr>
        <w:spacing w:after="0" w:line="254" w:lineRule="exact"/>
        <w:rPr>
          <w:sz w:val="24"/>
          <w:szCs w:val="24"/>
          <w:color w:val="auto"/>
        </w:rPr>
      </w:pPr>
    </w:p>
    <w:p>
      <w:pPr>
        <w:ind w:right="160" w:firstLine="720"/>
        <w:spacing w:after="0" w:line="315"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15" w:lineRule="exact"/>
        <w:rPr>
          <w:sz w:val="24"/>
          <w:szCs w:val="24"/>
          <w:color w:val="auto"/>
        </w:rPr>
      </w:pPr>
    </w:p>
    <w:p>
      <w:pPr>
        <w:ind w:firstLine="720"/>
        <w:spacing w:after="0" w:line="315"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5" w:lineRule="exact"/>
        <w:rPr>
          <w:sz w:val="24"/>
          <w:szCs w:val="24"/>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45" w:lineRule="exact"/>
        <w:rPr>
          <w:sz w:val="24"/>
          <w:szCs w:val="24"/>
          <w:color w:val="auto"/>
        </w:rPr>
      </w:pPr>
    </w:p>
    <w:p>
      <w:pPr>
        <w:ind w:right="120" w:firstLine="720"/>
        <w:spacing w:after="0" w:line="282"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48" w:lineRule="exact"/>
        <w:rPr>
          <w:sz w:val="24"/>
          <w:szCs w:val="24"/>
          <w:color w:val="auto"/>
        </w:rPr>
      </w:pPr>
    </w:p>
    <w:p>
      <w:pPr>
        <w:ind w:right="280" w:firstLine="720"/>
        <w:spacing w:after="0" w:line="286"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880"/>
          </w:cols>
          <w:pgMar w:left="1180" w:top="218" w:right="1180" w:bottom="51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306"/>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Large accelerated filer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p>
        </w:tc>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Accelerated filer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tc>
      </w:tr>
      <w:tr>
        <w:trPr>
          <w:trHeight w:val="30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Non-accelerated filer </w:t>
            </w:r>
            <w:r>
              <w:rPr>
                <w:rFonts w:ascii="Wingdings" w:cs="Wingdings" w:eastAsia="Wingdings" w:hAnsi="Wingdings"/>
                <w:sz w:val="20"/>
                <w:szCs w:val="20"/>
                <w:b w:val="1"/>
                <w:bCs w:val="1"/>
                <w:color w:val="auto"/>
              </w:rPr>
              <w:t>o</w:t>
            </w:r>
          </w:p>
        </w:tc>
        <w:tc>
          <w:tcPr>
            <w:tcW w:w="5020" w:type="dxa"/>
            <w:vAlign w:val="bottom"/>
          </w:tcPr>
          <w:p>
            <w:pPr>
              <w:jc w:val="right"/>
              <w:spacing w:after="0" w:line="231" w:lineRule="exact"/>
              <w:rPr>
                <w:sz w:val="20"/>
                <w:szCs w:val="20"/>
                <w:color w:val="auto"/>
              </w:rPr>
            </w:pPr>
            <w:r>
              <w:rPr>
                <w:rFonts w:ascii="Times New Roman" w:cs="Times New Roman" w:eastAsia="Times New Roman" w:hAnsi="Times New Roman"/>
                <w:sz w:val="20"/>
                <w:szCs w:val="20"/>
                <w:color w:val="auto"/>
              </w:rPr>
              <w:t xml:space="preserve">Smaller reporting company </w:t>
            </w:r>
            <w:r>
              <w:rPr>
                <w:rFonts w:ascii="Arial" w:cs="Arial" w:eastAsia="Arial" w:hAnsi="Arial"/>
                <w:sz w:val="20"/>
                <w:szCs w:val="20"/>
                <w:b w:val="1"/>
                <w:bCs w:val="1"/>
                <w:color w:val="auto"/>
              </w:rPr>
              <w:t xml:space="preserve"> </w:t>
            </w:r>
            <w:r>
              <w:rPr>
                <w:rFonts w:ascii="MS PGothic" w:cs="MS PGothic" w:eastAsia="MS PGothic" w:hAnsi="MS PGothic"/>
                <w:sz w:val="20"/>
                <w:szCs w:val="20"/>
                <w:b w:val="1"/>
                <w:bCs w:val="1"/>
                <w:color w:val="auto"/>
              </w:rPr>
              <w:t>☐</w:t>
            </w:r>
          </w:p>
        </w:tc>
      </w:tr>
      <w:tr>
        <w:trPr>
          <w:trHeight w:val="300"/>
        </w:trPr>
        <w:tc>
          <w:tcPr>
            <w:tcW w:w="4780" w:type="dxa"/>
            <w:vAlign w:val="bottom"/>
          </w:tcPr>
          <w:p>
            <w:pPr>
              <w:spacing w:after="0"/>
              <w:rPr>
                <w:sz w:val="24"/>
                <w:szCs w:val="24"/>
                <w:color w:val="auto"/>
              </w:rPr>
            </w:pPr>
          </w:p>
        </w:tc>
        <w:tc>
          <w:tcPr>
            <w:tcW w:w="5020" w:type="dxa"/>
            <w:vAlign w:val="bottom"/>
          </w:tcPr>
          <w:p>
            <w:pPr>
              <w:jc w:val="right"/>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b w:val="1"/>
                <w:bCs w:val="1"/>
                <w:color w:val="auto"/>
              </w:rPr>
              <w:t>☐</w:t>
            </w:r>
          </w:p>
        </w:tc>
      </w:tr>
    </w:tbl>
    <w:p>
      <w:pPr>
        <w:spacing w:after="0" w:line="273" w:lineRule="exact"/>
        <w:rPr>
          <w:sz w:val="20"/>
          <w:szCs w:val="20"/>
          <w:color w:val="auto"/>
        </w:rPr>
      </w:pPr>
    </w:p>
    <w:p>
      <w:pPr>
        <w:ind w:right="120" w:firstLine="720"/>
        <w:spacing w:after="0" w:line="283"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45" w:lineRule="exact"/>
        <w:rPr>
          <w:sz w:val="20"/>
          <w:szCs w:val="20"/>
          <w:color w:val="auto"/>
        </w:rPr>
      </w:pPr>
    </w:p>
    <w:p>
      <w:pPr>
        <w:ind w:right="60" w:firstLine="7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x</w:t>
      </w:r>
    </w:p>
    <w:p>
      <w:pPr>
        <w:spacing w:after="0" w:line="172"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9"/>
          <w:szCs w:val="19"/>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9"/>
          <w:szCs w:val="19"/>
          <w:b w:val="1"/>
          <w:bCs w:val="1"/>
          <w:color w:val="auto"/>
        </w:rPr>
        <w:t xml:space="preserve"> </w:t>
      </w:r>
    </w:p>
    <w:p>
      <w:pPr>
        <w:spacing w:after="0"/>
        <w:rPr>
          <w:sz w:val="20"/>
          <w:szCs w:val="20"/>
          <w:color w:val="auto"/>
        </w:rPr>
      </w:pPr>
      <w:r>
        <w:rPr>
          <w:rFonts w:ascii="Wingdings" w:cs="Wingdings" w:eastAsia="Wingdings" w:hAnsi="Wingdings"/>
          <w:sz w:val="20"/>
          <w:szCs w:val="20"/>
          <w:b w:val="1"/>
          <w:bCs w:val="1"/>
          <w:color w:val="auto"/>
        </w:rPr>
        <w:t>o</w:t>
      </w:r>
    </w:p>
    <w:p>
      <w:pPr>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20"/>
          <w:szCs w:val="20"/>
          <w:color w:val="333333"/>
        </w:rPr>
        <w:t>§240.10D-1(b)</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55" w:lineRule="exact"/>
        <w:rPr>
          <w:sz w:val="20"/>
          <w:szCs w:val="20"/>
          <w:color w:val="auto"/>
        </w:rPr>
      </w:pPr>
    </w:p>
    <w:p>
      <w:pPr>
        <w:ind w:right="100" w:firstLine="720"/>
        <w:spacing w:after="0" w:line="31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9" w:lineRule="exact"/>
        <w:rPr>
          <w:sz w:val="20"/>
          <w:szCs w:val="20"/>
          <w:color w:val="auto"/>
        </w:rPr>
      </w:pPr>
    </w:p>
    <w:p>
      <w:pPr>
        <w:ind w:right="240" w:firstLine="720"/>
        <w:spacing w:after="0" w:line="286" w:lineRule="auto"/>
        <w:rPr>
          <w:sz w:val="20"/>
          <w:szCs w:val="20"/>
          <w:color w:val="auto"/>
        </w:rPr>
      </w:pPr>
      <w:r>
        <w:rPr>
          <w:rFonts w:ascii="Times New Roman" w:cs="Times New Roman" w:eastAsia="Times New Roman" w:hAnsi="Times New Roman"/>
          <w:sz w:val="19"/>
          <w:szCs w:val="19"/>
          <w:color w:val="auto"/>
        </w:rPr>
        <w:t>The aggregate market value of the voting and non-voting common equity held by non-affiliates of the registrant computed as of June 28, 2024 (the last business day of the registrant’s most recently completed second fiscal quarter), based on the closing price of the Class A common stock on the Nasdaq Global Select Market, was $2,274.6 million.</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February 28, 2025, the registrant had 273,771,811 shares of Class A common stock outstanding.</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Documents Incorporated by Reference</w:t>
      </w:r>
      <w:r>
        <w:rPr>
          <w:rFonts w:ascii="Times New Roman" w:cs="Times New Roman" w:eastAsia="Times New Roman" w:hAnsi="Times New Roman"/>
          <w:sz w:val="20"/>
          <w:szCs w:val="20"/>
          <w:color w:val="auto"/>
          <w:highlight w:val="white"/>
        </w:rPr>
        <w:t>:</w:t>
      </w:r>
    </w:p>
    <w:p>
      <w:pPr>
        <w:spacing w:after="0" w:line="250"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20"/>
          <w:szCs w:val="20"/>
          <w:color w:val="auto"/>
        </w:rPr>
        <w:t>Portions of the registrant’s definitive proxy statement for the registrant’s 2025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880"/>
          </w:cols>
          <w:pgMar w:left="1180" w:top="218" w:right="11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5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1"/>
        </w:trPr>
        <w:tc>
          <w:tcPr>
            <w:tcW w:w="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13"/>
          </w:tcPr>
          <w:p>
            <w:pPr>
              <w:ind w:left="1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08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0000FF"/>
                <w:w w:val="99"/>
              </w:rPr>
              <w:t>GLOSSARY OF TERMS</w:t>
            </w:r>
          </w:p>
        </w:tc>
        <w:tc>
          <w:tcPr>
            <w:tcW w:w="7060" w:type="dxa"/>
            <w:vAlign w:val="bottom"/>
            <w:gridSpan w:val="25"/>
            <w:vMerge w:val="restart"/>
          </w:tcPr>
          <w:p>
            <w:pPr>
              <w:spacing w:after="0"/>
              <w:rPr>
                <w:sz w:val="24"/>
                <w:szCs w:val="24"/>
                <w:color w:val="auto"/>
              </w:rPr>
            </w:pPr>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80" w:type="dxa"/>
            <w:vAlign w:val="bottom"/>
            <w:tcBorders>
              <w:bottom w:val="single" w:sz="8" w:color="0000FF"/>
            </w:tcBorders>
            <w:gridSpan w:val="9"/>
            <w:vMerge w:val="continue"/>
          </w:tcPr>
          <w:p>
            <w:pPr>
              <w:spacing w:after="0"/>
              <w:rPr>
                <w:sz w:val="24"/>
                <w:szCs w:val="24"/>
                <w:color w:val="auto"/>
              </w:rPr>
            </w:pPr>
          </w:p>
        </w:tc>
        <w:tc>
          <w:tcPr>
            <w:tcW w:w="7060" w:type="dxa"/>
            <w:vAlign w:val="bottom"/>
            <w:gridSpan w:val="25"/>
            <w:vMerge w:val="continue"/>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140" w:type="dxa"/>
            <w:vAlign w:val="bottom"/>
            <w:gridSpan w:val="34"/>
          </w:tcPr>
          <w:p>
            <w:pPr>
              <w:spacing w:after="0"/>
              <w:rPr>
                <w:sz w:val="20"/>
                <w:szCs w:val="20"/>
                <w:color w:val="auto"/>
              </w:rPr>
            </w:pPr>
            <w:r>
              <w:rPr>
                <w:rFonts w:ascii="Times New Roman" w:cs="Times New Roman" w:eastAsia="Times New Roman" w:hAnsi="Times New Roman"/>
                <w:sz w:val="20"/>
                <w:szCs w:val="20"/>
                <w:color w:val="0000FF"/>
              </w:rPr>
              <w:t>CAUTIONARY STATEMENT ON FORWARD-LOOKING STATEMENTS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64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20"/>
                <w:szCs w:val="20"/>
                <w:color w:val="0000FF"/>
                <w:w w:val="98"/>
              </w:rPr>
              <w:t>PART I</w:t>
            </w:r>
          </w:p>
        </w:tc>
        <w:tc>
          <w:tcPr>
            <w:tcW w:w="900" w:type="dxa"/>
            <w:vAlign w:val="bottom"/>
            <w:tcBorders>
              <w:top w:val="single" w:sz="8" w:color="0000FF"/>
            </w:tcBorders>
            <w:gridSpan w:val="6"/>
            <w:vMerge w:val="restart"/>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640" w:type="dxa"/>
            <w:vAlign w:val="bottom"/>
            <w:tcBorders>
              <w:bottom w:val="single" w:sz="8" w:color="0000FF"/>
            </w:tcBorders>
            <w:vMerge w:val="continue"/>
          </w:tcPr>
          <w:p>
            <w:pPr>
              <w:spacing w:after="0"/>
              <w:rPr>
                <w:sz w:val="24"/>
                <w:szCs w:val="24"/>
                <w:color w:val="auto"/>
              </w:rPr>
            </w:pPr>
          </w:p>
        </w:tc>
        <w:tc>
          <w:tcPr>
            <w:tcW w:w="90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140" w:type="dxa"/>
            <w:vAlign w:val="bottom"/>
            <w:gridSpan w:val="34"/>
          </w:tcPr>
          <w:p>
            <w:pPr>
              <w:ind w:left="300"/>
              <w:spacing w:after="0"/>
              <w:rPr>
                <w:sz w:val="20"/>
                <w:szCs w:val="20"/>
                <w:color w:val="auto"/>
              </w:rPr>
            </w:pPr>
            <w:r>
              <w:rPr>
                <w:rFonts w:ascii="Times New Roman" w:cs="Times New Roman" w:eastAsia="Times New Roman" w:hAnsi="Times New Roman"/>
                <w:sz w:val="20"/>
                <w:szCs w:val="20"/>
                <w:color w:val="auto"/>
              </w:rPr>
              <w:t xml:space="preserve">Items 1 and 2. </w:t>
            </w:r>
            <w:r>
              <w:rPr>
                <w:rFonts w:ascii="Times New Roman" w:cs="Times New Roman" w:eastAsia="Times New Roman" w:hAnsi="Times New Roman"/>
                <w:sz w:val="20"/>
                <w:szCs w:val="20"/>
                <w:color w:val="0000FF"/>
              </w:rPr>
              <w:t>Business and Properties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1A.</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Risk Factors</w:t>
            </w:r>
          </w:p>
        </w:tc>
        <w:tc>
          <w:tcPr>
            <w:tcW w:w="900" w:type="dxa"/>
            <w:vAlign w:val="bottom"/>
            <w:tcBorders>
              <w:top w:val="single" w:sz="8" w:color="0000FF"/>
            </w:tcBorders>
            <w:gridSpan w:val="5"/>
          </w:tcPr>
          <w:p>
            <w:pPr>
              <w:spacing w:after="0"/>
              <w:rPr>
                <w:sz w:val="24"/>
                <w:szCs w:val="24"/>
                <w:color w:val="auto"/>
              </w:rPr>
            </w:pPr>
          </w:p>
        </w:tc>
        <w:tc>
          <w:tcPr>
            <w:tcW w:w="5680" w:type="dxa"/>
            <w:vAlign w:val="bottom"/>
            <w:gridSpan w:val="17"/>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1B.</w:t>
            </w:r>
          </w:p>
        </w:tc>
        <w:tc>
          <w:tcPr>
            <w:tcW w:w="2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Unresolved Staff Comments.</w:t>
            </w:r>
          </w:p>
        </w:tc>
        <w:tc>
          <w:tcPr>
            <w:tcW w:w="5260" w:type="dxa"/>
            <w:vAlign w:val="bottom"/>
            <w:gridSpan w:val="14"/>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1C.</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3.</w:t>
            </w:r>
          </w:p>
        </w:tc>
        <w:tc>
          <w:tcPr>
            <w:tcW w:w="1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Legal Proceedings.</w:t>
            </w:r>
          </w:p>
        </w:tc>
        <w:tc>
          <w:tcPr>
            <w:tcW w:w="6060" w:type="dxa"/>
            <w:vAlign w:val="bottom"/>
            <w:gridSpan w:val="1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4.</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PART II</w:t>
            </w:r>
          </w:p>
        </w:tc>
        <w:tc>
          <w:tcPr>
            <w:tcW w:w="840" w:type="dxa"/>
            <w:vAlign w:val="bottom"/>
            <w:gridSpan w:val="5"/>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5.</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Market for the Registrant’s Common Equity, Related Shareholder Matters and Issuer</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9"/>
              </w:rPr>
              <w:t>Purchases of Equity Securities.</w:t>
            </w:r>
          </w:p>
        </w:tc>
        <w:tc>
          <w:tcPr>
            <w:tcW w:w="4360" w:type="dxa"/>
            <w:vAlign w:val="bottom"/>
            <w:tcBorders>
              <w:top w:val="single" w:sz="8" w:color="0000FF"/>
            </w:tcBorders>
            <w:gridSpan w:val="9"/>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6.</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0000FF"/>
              </w:rPr>
              <w:t>Reserved.</w:t>
            </w: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gridSpan w:val="7"/>
            <w:vMerge w:val="restart"/>
          </w:tcPr>
          <w:p>
            <w:pPr>
              <w:ind w:left="300"/>
              <w:spacing w:after="0"/>
              <w:rPr>
                <w:sz w:val="20"/>
                <w:szCs w:val="20"/>
                <w:color w:val="auto"/>
              </w:rPr>
            </w:pPr>
            <w:r>
              <w:rPr>
                <w:rFonts w:ascii="Times New Roman" w:cs="Times New Roman" w:eastAsia="Times New Roman" w:hAnsi="Times New Roman"/>
                <w:sz w:val="20"/>
                <w:szCs w:val="20"/>
                <w:color w:val="auto"/>
              </w:rPr>
              <w:t>Item 7.</w:t>
            </w:r>
          </w:p>
        </w:tc>
        <w:tc>
          <w:tcPr>
            <w:tcW w:w="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vMerge w:val="continue"/>
          </w:tcPr>
          <w:p>
            <w:pPr>
              <w:spacing w:after="0"/>
              <w:rPr>
                <w:sz w:val="24"/>
                <w:szCs w:val="24"/>
                <w:color w:val="auto"/>
              </w:rPr>
            </w:pPr>
          </w:p>
        </w:tc>
        <w:tc>
          <w:tcPr>
            <w:tcW w:w="72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9"/>
              </w:rPr>
              <w:t>Management’s Discussion and Analysis of Financial Condition and Results of Operations.</w:t>
            </w:r>
          </w:p>
        </w:tc>
        <w:tc>
          <w:tcPr>
            <w:tcW w:w="360" w:type="dxa"/>
            <w:vAlign w:val="bottom"/>
            <w:gridSpan w:val="3"/>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7A.</w:t>
            </w:r>
          </w:p>
        </w:tc>
        <w:tc>
          <w:tcPr>
            <w:tcW w:w="4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Quantitative and Qualitative Disclosures About Market Risk.</w:t>
            </w:r>
          </w:p>
        </w:tc>
        <w:tc>
          <w:tcPr>
            <w:tcW w:w="2700" w:type="dxa"/>
            <w:vAlign w:val="bottom"/>
            <w:gridSpan w:val="7"/>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8.</w:t>
            </w:r>
          </w:p>
        </w:tc>
        <w:tc>
          <w:tcPr>
            <w:tcW w:w="3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9"/>
              </w:rPr>
              <w:t>Financial Statements and Supplementary Data.</w:t>
            </w:r>
          </w:p>
        </w:tc>
        <w:tc>
          <w:tcPr>
            <w:tcW w:w="3840" w:type="dxa"/>
            <w:vAlign w:val="bottom"/>
            <w:gridSpan w:val="10"/>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9.</w:t>
            </w:r>
          </w:p>
        </w:tc>
        <w:tc>
          <w:tcPr>
            <w:tcW w:w="73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9"/>
              </w:rPr>
              <w:t>Changes in and Disagreements With Accountants on Accounting and Financial Disclosure.</w:t>
            </w:r>
          </w:p>
        </w:tc>
        <w:tc>
          <w:tcPr>
            <w:tcW w:w="30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9A.</w:t>
            </w:r>
          </w:p>
        </w:tc>
        <w:tc>
          <w:tcPr>
            <w:tcW w:w="2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5560" w:type="dxa"/>
            <w:vAlign w:val="bottom"/>
            <w:gridSpan w:val="15"/>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9B.</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Other Information.</w:t>
            </w:r>
          </w:p>
        </w:tc>
        <w:tc>
          <w:tcPr>
            <w:tcW w:w="6080" w:type="dxa"/>
            <w:vAlign w:val="bottom"/>
            <w:gridSpan w:val="20"/>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9C.</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PART III</w:t>
            </w: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10.</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11.</w:t>
            </w:r>
          </w:p>
        </w:tc>
        <w:tc>
          <w:tcPr>
            <w:tcW w:w="20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9"/>
              </w:rPr>
              <w:t>Executive Compensation</w:t>
            </w:r>
          </w:p>
        </w:tc>
        <w:tc>
          <w:tcPr>
            <w:tcW w:w="2580" w:type="dxa"/>
            <w:vAlign w:val="bottom"/>
            <w:tcBorders>
              <w:top w:val="single" w:sz="8" w:color="0000FF"/>
            </w:tcBorders>
            <w:gridSpan w:val="7"/>
          </w:tcPr>
          <w:p>
            <w:pPr>
              <w:spacing w:after="0"/>
              <w:rPr>
                <w:sz w:val="24"/>
                <w:szCs w:val="24"/>
                <w:color w:val="auto"/>
              </w:rPr>
            </w:pPr>
          </w:p>
        </w:tc>
        <w:tc>
          <w:tcPr>
            <w:tcW w:w="3000" w:type="dxa"/>
            <w:vAlign w:val="bottom"/>
            <w:gridSpan w:val="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12.</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500" w:type="dxa"/>
            <w:vAlign w:val="bottom"/>
            <w:tcBorders>
              <w:top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Matters.</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gridSpan w:val="7"/>
            <w:vMerge w:val="restart"/>
          </w:tcPr>
          <w:p>
            <w:pPr>
              <w:ind w:left="300"/>
              <w:spacing w:after="0"/>
              <w:rPr>
                <w:sz w:val="20"/>
                <w:szCs w:val="20"/>
                <w:color w:val="auto"/>
              </w:rPr>
            </w:pPr>
            <w:r>
              <w:rPr>
                <w:rFonts w:ascii="Times New Roman" w:cs="Times New Roman" w:eastAsia="Times New Roman" w:hAnsi="Times New Roman"/>
                <w:sz w:val="20"/>
                <w:szCs w:val="20"/>
                <w:color w:val="auto"/>
              </w:rPr>
              <w:t>Item 13.</w:t>
            </w:r>
          </w:p>
        </w:tc>
        <w:tc>
          <w:tcPr>
            <w:tcW w:w="660" w:type="dxa"/>
            <w:vAlign w:val="bottom"/>
            <w:gridSpan w:val="3"/>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vMerge w:val="continue"/>
          </w:tcPr>
          <w:p>
            <w:pPr>
              <w:spacing w:after="0"/>
              <w:rPr>
                <w:sz w:val="24"/>
                <w:szCs w:val="24"/>
                <w:color w:val="auto"/>
              </w:rPr>
            </w:pPr>
          </w:p>
        </w:tc>
        <w:tc>
          <w:tcPr>
            <w:tcW w:w="6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Certain Relationships and Related Transactions, and Director Independence.</w:t>
            </w:r>
          </w:p>
        </w:tc>
        <w:tc>
          <w:tcPr>
            <w:tcW w:w="1480" w:type="dxa"/>
            <w:vAlign w:val="bottom"/>
            <w:gridSpan w:val="5"/>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14.</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PART IV</w:t>
            </w:r>
          </w:p>
        </w:tc>
        <w:tc>
          <w:tcPr>
            <w:tcW w:w="760" w:type="dxa"/>
            <w:vAlign w:val="bottom"/>
            <w:gridSpan w:val="3"/>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15.</w:t>
            </w:r>
          </w:p>
        </w:tc>
        <w:tc>
          <w:tcPr>
            <w:tcW w:w="3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Exhibits, Financial Statement Schedules.</w:t>
            </w:r>
          </w:p>
        </w:tc>
        <w:tc>
          <w:tcPr>
            <w:tcW w:w="4320" w:type="dxa"/>
            <w:vAlign w:val="bottom"/>
            <w:gridSpan w:val="11"/>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20"/>
                <w:szCs w:val="20"/>
                <w:color w:val="auto"/>
              </w:rPr>
              <w:t>Item 16.</w:t>
            </w:r>
          </w:p>
        </w:tc>
        <w:tc>
          <w:tcPr>
            <w:tcW w:w="76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54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540" w:type="dxa"/>
            <w:vAlign w:val="bottom"/>
            <w:gridSpan w:val="7"/>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-5784215</wp:posOffset>
            </wp:positionV>
            <wp:extent cx="6311900" cy="5797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5797550"/>
                    </a:xfrm>
                    <a:prstGeom prst="rect">
                      <a:avLst/>
                    </a:prstGeom>
                    <a:noFill/>
                  </pic:spPr>
                </pic:pic>
              </a:graphicData>
            </a:graphic>
          </wp:anchor>
        </w:drawing>
      </w:r>
    </w:p>
    <w:p>
      <w:pPr>
        <w:sectPr>
          <w:pgSz w:w="12240" w:h="15840" w:orient="portrait"/>
          <w:cols w:equalWidth="0" w:num="1">
            <w:col w:w="9840"/>
          </w:cols>
          <w:pgMar w:left="1180" w:top="210" w:right="122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commonly used in the liquefied natural gas industry, to the extent applicable and as used in this Annual Report 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10-K (“Annual Report”), the terms listed below have the following meanings:</w:t>
      </w:r>
    </w:p>
    <w:p>
      <w:pPr>
        <w:spacing w:after="0" w:line="318"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ADO</w:t>
      </w:r>
      <w:r>
        <w:rPr>
          <w:sz w:val="20"/>
          <w:szCs w:val="20"/>
          <w:color w:val="auto"/>
        </w:rPr>
        <w:tab/>
      </w:r>
      <w:r>
        <w:rPr>
          <w:rFonts w:ascii="Times New Roman" w:cs="Times New Roman" w:eastAsia="Times New Roman" w:hAnsi="Times New Roman"/>
          <w:sz w:val="20"/>
          <w:szCs w:val="20"/>
          <w:color w:val="auto"/>
        </w:rPr>
        <w:t>automotive diesel oil</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Bcf/yr</w:t>
      </w:r>
      <w:r>
        <w:rPr>
          <w:sz w:val="20"/>
          <w:szCs w:val="20"/>
          <w:color w:val="auto"/>
        </w:rPr>
        <w:tab/>
      </w:r>
      <w:r>
        <w:rPr>
          <w:rFonts w:ascii="Times New Roman" w:cs="Times New Roman" w:eastAsia="Times New Roman" w:hAnsi="Times New Roman"/>
          <w:sz w:val="20"/>
          <w:szCs w:val="20"/>
          <w:color w:val="auto"/>
        </w:rPr>
        <w:t>billion cubic feet per year</w:t>
      </w:r>
    </w:p>
    <w:p>
      <w:pPr>
        <w:spacing w:after="0" w:line="184"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Btu</w:t>
      </w:r>
      <w:r>
        <w:rPr>
          <w:sz w:val="20"/>
          <w:szCs w:val="20"/>
          <w:color w:val="auto"/>
        </w:rPr>
        <w:tab/>
      </w:r>
      <w:r>
        <w:rPr>
          <w:rFonts w:ascii="Times New Roman" w:cs="Times New Roman" w:eastAsia="Times New Roman" w:hAnsi="Times New Roman"/>
          <w:sz w:val="20"/>
          <w:szCs w:val="20"/>
          <w:color w:val="auto"/>
        </w:rPr>
        <w:t>the amount of heat required to raise the temperature of one avoirdupois pound of pure water from 59</w:t>
      </w:r>
    </w:p>
    <w:p>
      <w:pPr>
        <w:spacing w:after="0" w:line="18" w:lineRule="exact"/>
        <w:rPr>
          <w:sz w:val="20"/>
          <w:szCs w:val="20"/>
          <w:color w:val="auto"/>
        </w:rPr>
      </w:pPr>
    </w:p>
    <w:p>
      <w:pPr>
        <w:ind w:left="1680"/>
        <w:spacing w:after="0" w:line="228" w:lineRule="auto"/>
        <w:rPr>
          <w:sz w:val="20"/>
          <w:szCs w:val="20"/>
          <w:color w:val="auto"/>
        </w:rPr>
      </w:pPr>
      <w:r>
        <w:rPr>
          <w:rFonts w:ascii="Times New Roman" w:cs="Times New Roman" w:eastAsia="Times New Roman" w:hAnsi="Times New Roman"/>
          <w:sz w:val="20"/>
          <w:szCs w:val="20"/>
          <w:color w:val="auto"/>
        </w:rPr>
        <w:t>degrees Fahrenheit to 60 degrees Fahrenheit at an absolute pressure of 14.696 pounds per square inch gage</w:t>
      </w:r>
    </w:p>
    <w:p>
      <w:pPr>
        <w:spacing w:after="0" w:line="163"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CAA</w:t>
      </w:r>
      <w:r>
        <w:rPr>
          <w:sz w:val="20"/>
          <w:szCs w:val="20"/>
          <w:color w:val="auto"/>
        </w:rPr>
        <w:tab/>
      </w:r>
      <w:r>
        <w:rPr>
          <w:rFonts w:ascii="Times New Roman" w:cs="Times New Roman" w:eastAsia="Times New Roman" w:hAnsi="Times New Roman"/>
          <w:sz w:val="20"/>
          <w:szCs w:val="20"/>
          <w:color w:val="auto"/>
        </w:rPr>
        <w:t>Clean Air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CERCLA</w:t>
      </w:r>
      <w:r>
        <w:rPr>
          <w:sz w:val="20"/>
          <w:szCs w:val="20"/>
          <w:color w:val="auto"/>
        </w:rPr>
        <w:tab/>
      </w:r>
      <w:r>
        <w:rPr>
          <w:rFonts w:ascii="Times New Roman" w:cs="Times New Roman" w:eastAsia="Times New Roman" w:hAnsi="Times New Roman"/>
          <w:sz w:val="20"/>
          <w:szCs w:val="20"/>
          <w:color w:val="auto"/>
        </w:rPr>
        <w:t>Comprehensive Environmental Response, Compensation and Liability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CWA</w:t>
      </w:r>
      <w:r>
        <w:rPr>
          <w:sz w:val="20"/>
          <w:szCs w:val="20"/>
          <w:color w:val="auto"/>
        </w:rPr>
        <w:tab/>
      </w:r>
      <w:r>
        <w:rPr>
          <w:rFonts w:ascii="Times New Roman" w:cs="Times New Roman" w:eastAsia="Times New Roman" w:hAnsi="Times New Roman"/>
          <w:sz w:val="20"/>
          <w:szCs w:val="20"/>
          <w:color w:val="auto"/>
        </w:rPr>
        <w:t>Clean Water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DOE</w:t>
      </w:r>
      <w:r>
        <w:rPr>
          <w:sz w:val="20"/>
          <w:szCs w:val="20"/>
          <w:color w:val="auto"/>
        </w:rPr>
        <w:tab/>
      </w:r>
      <w:r>
        <w:rPr>
          <w:rFonts w:ascii="Times New Roman" w:cs="Times New Roman" w:eastAsia="Times New Roman" w:hAnsi="Times New Roman"/>
          <w:sz w:val="20"/>
          <w:szCs w:val="20"/>
          <w:color w:val="auto"/>
        </w:rPr>
        <w:t>U.S. Department of Energy</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DOT</w:t>
      </w:r>
      <w:r>
        <w:rPr>
          <w:sz w:val="20"/>
          <w:szCs w:val="20"/>
          <w:color w:val="auto"/>
        </w:rPr>
        <w:tab/>
      </w:r>
      <w:r>
        <w:rPr>
          <w:rFonts w:ascii="Times New Roman" w:cs="Times New Roman" w:eastAsia="Times New Roman" w:hAnsi="Times New Roman"/>
          <w:sz w:val="20"/>
          <w:szCs w:val="20"/>
          <w:color w:val="auto"/>
        </w:rPr>
        <w:t>U.S. Department of Transportation</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EPA</w:t>
      </w:r>
      <w:r>
        <w:rPr>
          <w:sz w:val="20"/>
          <w:szCs w:val="20"/>
          <w:color w:val="auto"/>
        </w:rPr>
        <w:tab/>
      </w:r>
      <w:r>
        <w:rPr>
          <w:rFonts w:ascii="Times New Roman" w:cs="Times New Roman" w:eastAsia="Times New Roman" w:hAnsi="Times New Roman"/>
          <w:sz w:val="20"/>
          <w:szCs w:val="20"/>
          <w:color w:val="auto"/>
        </w:rPr>
        <w:t>U.S. Environmental Protection Agency</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FTA countries</w:t>
      </w:r>
      <w:r>
        <w:rPr>
          <w:sz w:val="20"/>
          <w:szCs w:val="20"/>
          <w:color w:val="auto"/>
        </w:rPr>
        <w:tab/>
      </w:r>
      <w:r>
        <w:rPr>
          <w:rFonts w:ascii="Times New Roman" w:cs="Times New Roman" w:eastAsia="Times New Roman" w:hAnsi="Times New Roman"/>
          <w:sz w:val="19"/>
          <w:szCs w:val="19"/>
          <w:color w:val="auto"/>
        </w:rPr>
        <w:t>countries with which the United States has a free trade agreement providing for national treatment for</w:t>
      </w:r>
    </w:p>
    <w:p>
      <w:pPr>
        <w:ind w:left="1680"/>
        <w:spacing w:after="0"/>
        <w:rPr>
          <w:sz w:val="20"/>
          <w:szCs w:val="20"/>
          <w:color w:val="auto"/>
        </w:rPr>
      </w:pPr>
      <w:r>
        <w:rPr>
          <w:rFonts w:ascii="Times New Roman" w:cs="Times New Roman" w:eastAsia="Times New Roman" w:hAnsi="Times New Roman"/>
          <w:sz w:val="20"/>
          <w:szCs w:val="20"/>
          <w:color w:val="auto"/>
        </w:rPr>
        <w:t>trade in natural gas</w:t>
      </w:r>
    </w:p>
    <w:p>
      <w:pPr>
        <w:spacing w:after="0" w:line="1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GAAP</w:t>
      </w:r>
      <w:r>
        <w:rPr>
          <w:sz w:val="20"/>
          <w:szCs w:val="20"/>
          <w:color w:val="auto"/>
        </w:rPr>
        <w:tab/>
      </w:r>
      <w:r>
        <w:rPr>
          <w:rFonts w:ascii="Times New Roman" w:cs="Times New Roman" w:eastAsia="Times New Roman" w:hAnsi="Times New Roman"/>
          <w:sz w:val="20"/>
          <w:szCs w:val="20"/>
          <w:color w:val="auto"/>
        </w:rPr>
        <w:t>generally accepted accounting principles in the United States</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GHG</w:t>
      </w:r>
      <w:r>
        <w:rPr>
          <w:sz w:val="20"/>
          <w:szCs w:val="20"/>
          <w:color w:val="auto"/>
        </w:rPr>
        <w:tab/>
      </w:r>
      <w:r>
        <w:rPr>
          <w:rFonts w:ascii="Times New Roman" w:cs="Times New Roman" w:eastAsia="Times New Roman" w:hAnsi="Times New Roman"/>
          <w:sz w:val="20"/>
          <w:szCs w:val="20"/>
          <w:color w:val="auto"/>
        </w:rPr>
        <w:t>greenhouse gases</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GSA</w:t>
      </w:r>
      <w:r>
        <w:rPr>
          <w:sz w:val="20"/>
          <w:szCs w:val="20"/>
          <w:color w:val="auto"/>
        </w:rPr>
        <w:tab/>
      </w:r>
      <w:r>
        <w:rPr>
          <w:rFonts w:ascii="Times New Roman" w:cs="Times New Roman" w:eastAsia="Times New Roman" w:hAnsi="Times New Roman"/>
          <w:sz w:val="20"/>
          <w:szCs w:val="20"/>
          <w:color w:val="auto"/>
        </w:rPr>
        <w:t>gas sales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Henry Hub</w:t>
      </w:r>
      <w:r>
        <w:rPr>
          <w:sz w:val="20"/>
          <w:szCs w:val="20"/>
          <w:color w:val="auto"/>
        </w:rPr>
        <w:tab/>
      </w:r>
      <w:r>
        <w:rPr>
          <w:rFonts w:ascii="Times New Roman" w:cs="Times New Roman" w:eastAsia="Times New Roman" w:hAnsi="Times New Roman"/>
          <w:sz w:val="19"/>
          <w:szCs w:val="19"/>
          <w:color w:val="auto"/>
        </w:rPr>
        <w:t>a natural gas pipeline located in Erath, Louisiana that serves as the official delivery location for</w:t>
      </w:r>
    </w:p>
    <w:p>
      <w:pPr>
        <w:ind w:left="1680"/>
        <w:spacing w:after="0"/>
        <w:rPr>
          <w:sz w:val="20"/>
          <w:szCs w:val="20"/>
          <w:color w:val="auto"/>
        </w:rPr>
      </w:pPr>
      <w:r>
        <w:rPr>
          <w:rFonts w:ascii="Times New Roman" w:cs="Times New Roman" w:eastAsia="Times New Roman" w:hAnsi="Times New Roman"/>
          <w:sz w:val="20"/>
          <w:szCs w:val="20"/>
          <w:color w:val="auto"/>
        </w:rPr>
        <w:t>futures contracts on the New York Mercantile Exchange</w:t>
      </w:r>
    </w:p>
    <w:p>
      <w:pPr>
        <w:spacing w:after="0" w:line="1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ISO container</w:t>
      </w:r>
      <w:r>
        <w:rPr>
          <w:sz w:val="20"/>
          <w:szCs w:val="20"/>
          <w:color w:val="auto"/>
        </w:rPr>
        <w:tab/>
      </w:r>
      <w:r>
        <w:rPr>
          <w:rFonts w:ascii="Times New Roman" w:cs="Times New Roman" w:eastAsia="Times New Roman" w:hAnsi="Times New Roman"/>
          <w:sz w:val="19"/>
          <w:szCs w:val="19"/>
          <w:color w:val="auto"/>
        </w:rPr>
        <w:t>International Organization of Standardization, an intermodal container</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LNG</w:t>
      </w:r>
      <w:r>
        <w:rPr>
          <w:sz w:val="20"/>
          <w:szCs w:val="20"/>
          <w:color w:val="auto"/>
        </w:rPr>
        <w:tab/>
      </w:r>
      <w:r>
        <w:rPr>
          <w:rFonts w:ascii="Times New Roman" w:cs="Times New Roman" w:eastAsia="Times New Roman" w:hAnsi="Times New Roman"/>
          <w:sz w:val="20"/>
          <w:szCs w:val="20"/>
          <w:color w:val="auto"/>
        </w:rPr>
        <w:t>natural gas in its liquid state at or below its boiling point at or near atmospheric pressure</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MMBtu</w:t>
      </w:r>
      <w:r>
        <w:rPr>
          <w:sz w:val="20"/>
          <w:szCs w:val="20"/>
          <w:color w:val="auto"/>
        </w:rPr>
        <w:tab/>
      </w:r>
      <w:r>
        <w:rPr>
          <w:rFonts w:ascii="Times New Roman" w:cs="Times New Roman" w:eastAsia="Times New Roman" w:hAnsi="Times New Roman"/>
          <w:sz w:val="20"/>
          <w:szCs w:val="20"/>
          <w:color w:val="auto"/>
        </w:rPr>
        <w:t>one million Btus, which corresponds to approximately 12.1 gallons of LNG</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mtpa</w:t>
      </w:r>
      <w:r>
        <w:rPr>
          <w:sz w:val="20"/>
          <w:szCs w:val="20"/>
          <w:color w:val="auto"/>
        </w:rPr>
        <w:tab/>
      </w:r>
      <w:r>
        <w:rPr>
          <w:rFonts w:ascii="Times New Roman" w:cs="Times New Roman" w:eastAsia="Times New Roman" w:hAnsi="Times New Roman"/>
          <w:sz w:val="20"/>
          <w:szCs w:val="20"/>
          <w:color w:val="auto"/>
        </w:rPr>
        <w:t>metric tons per year</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MW</w:t>
      </w:r>
      <w:r>
        <w:rPr>
          <w:sz w:val="20"/>
          <w:szCs w:val="20"/>
          <w:color w:val="auto"/>
        </w:rPr>
        <w:tab/>
      </w:r>
      <w:r>
        <w:rPr>
          <w:rFonts w:ascii="Times New Roman" w:cs="Times New Roman" w:eastAsia="Times New Roman" w:hAnsi="Times New Roman"/>
          <w:sz w:val="20"/>
          <w:szCs w:val="20"/>
          <w:color w:val="auto"/>
        </w:rPr>
        <w:t>megawatt. We estimate 2,500 LNG gallons would be required to produce one megawatt.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NGA</w:t>
      </w:r>
      <w:r>
        <w:rPr>
          <w:sz w:val="20"/>
          <w:szCs w:val="20"/>
          <w:color w:val="auto"/>
        </w:rPr>
        <w:tab/>
      </w:r>
      <w:r>
        <w:rPr>
          <w:rFonts w:ascii="Times New Roman" w:cs="Times New Roman" w:eastAsia="Times New Roman" w:hAnsi="Times New Roman"/>
          <w:sz w:val="20"/>
          <w:szCs w:val="20"/>
          <w:color w:val="auto"/>
        </w:rPr>
        <w:t>Natural Gas Act of 1938, as amended</w:t>
      </w:r>
    </w:p>
    <w:p>
      <w:pPr>
        <w:spacing w:after="0" w:line="205" w:lineRule="exact"/>
        <w:rPr>
          <w:sz w:val="20"/>
          <w:szCs w:val="20"/>
          <w:color w:val="auto"/>
        </w:rPr>
      </w:pPr>
    </w:p>
    <w:p>
      <w:pPr>
        <w:ind w:left="1680" w:right="180" w:hanging="1634"/>
        <w:spacing w:after="0" w:line="249" w:lineRule="auto"/>
        <w:rPr>
          <w:sz w:val="20"/>
          <w:szCs w:val="20"/>
          <w:color w:val="auto"/>
        </w:rPr>
      </w:pPr>
      <w:r>
        <w:rPr>
          <w:rFonts w:ascii="Times New Roman" w:cs="Times New Roman" w:eastAsia="Times New Roman" w:hAnsi="Times New Roman"/>
          <w:sz w:val="20"/>
          <w:szCs w:val="20"/>
          <w:color w:val="auto"/>
        </w:rPr>
        <w:t>non-FTA countries countries without a free trade agreement with the United States providing for national treatment for trade in natural gas and with which trade is permitted</w:t>
      </w:r>
    </w:p>
    <w:p>
      <w:pPr>
        <w:spacing w:after="0" w:line="153"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OPA</w:t>
      </w:r>
      <w:r>
        <w:rPr>
          <w:sz w:val="20"/>
          <w:szCs w:val="20"/>
          <w:color w:val="auto"/>
        </w:rPr>
        <w:tab/>
      </w:r>
      <w:r>
        <w:rPr>
          <w:rFonts w:ascii="Times New Roman" w:cs="Times New Roman" w:eastAsia="Times New Roman" w:hAnsi="Times New Roman"/>
          <w:sz w:val="20"/>
          <w:szCs w:val="20"/>
          <w:color w:val="auto"/>
        </w:rPr>
        <w:t>Oil Pollution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OUR</w:t>
      </w:r>
      <w:r>
        <w:rPr>
          <w:sz w:val="20"/>
          <w:szCs w:val="20"/>
          <w:color w:val="auto"/>
        </w:rPr>
        <w:tab/>
      </w:r>
      <w:r>
        <w:rPr>
          <w:rFonts w:ascii="Times New Roman" w:cs="Times New Roman" w:eastAsia="Times New Roman" w:hAnsi="Times New Roman"/>
          <w:sz w:val="20"/>
          <w:szCs w:val="20"/>
          <w:color w:val="auto"/>
        </w:rPr>
        <w:t>Office of Utilities Regulation (Jamaica)</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PHMSA</w:t>
      </w:r>
      <w:r>
        <w:rPr>
          <w:sz w:val="20"/>
          <w:szCs w:val="20"/>
          <w:color w:val="auto"/>
        </w:rPr>
        <w:tab/>
      </w:r>
      <w:r>
        <w:rPr>
          <w:rFonts w:ascii="Times New Roman" w:cs="Times New Roman" w:eastAsia="Times New Roman" w:hAnsi="Times New Roman"/>
          <w:sz w:val="20"/>
          <w:szCs w:val="20"/>
          <w:color w:val="auto"/>
        </w:rPr>
        <w:t>Pipeline and Hazardous Materials Safety Administration</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PPA</w:t>
      </w:r>
      <w:r>
        <w:rPr>
          <w:sz w:val="20"/>
          <w:szCs w:val="20"/>
          <w:color w:val="auto"/>
        </w:rPr>
        <w:tab/>
      </w:r>
      <w:r>
        <w:rPr>
          <w:rFonts w:ascii="Times New Roman" w:cs="Times New Roman" w:eastAsia="Times New Roman" w:hAnsi="Times New Roman"/>
          <w:sz w:val="20"/>
          <w:szCs w:val="20"/>
          <w:color w:val="auto"/>
        </w:rPr>
        <w:t>power purchase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SSA</w:t>
      </w:r>
      <w:r>
        <w:rPr>
          <w:sz w:val="20"/>
          <w:szCs w:val="20"/>
          <w:color w:val="auto"/>
        </w:rPr>
        <w:tab/>
      </w:r>
      <w:r>
        <w:rPr>
          <w:rFonts w:ascii="Times New Roman" w:cs="Times New Roman" w:eastAsia="Times New Roman" w:hAnsi="Times New Roman"/>
          <w:sz w:val="20"/>
          <w:szCs w:val="20"/>
          <w:color w:val="auto"/>
        </w:rPr>
        <w:t>steam supply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TBtu</w:t>
      </w:r>
      <w:r>
        <w:rPr>
          <w:sz w:val="20"/>
          <w:szCs w:val="20"/>
          <w:color w:val="auto"/>
        </w:rPr>
        <w:tab/>
      </w:r>
      <w:r>
        <w:rPr>
          <w:rFonts w:ascii="Times New Roman" w:cs="Times New Roman" w:eastAsia="Times New Roman" w:hAnsi="Times New Roman"/>
          <w:sz w:val="20"/>
          <w:szCs w:val="20"/>
          <w:color w:val="auto"/>
        </w:rPr>
        <w:t>one trillion Btus, which corresponds to approximately 12,100,000 gallons of LNG</w:t>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800"/>
          </w:cols>
          <w:pgMar w:left="1180" w:top="218" w:right="1260" w:bottom="0" w:gutter="0" w:footer="0" w:header="0"/>
          <w:type w:val="continuous"/>
        </w:sectPr>
      </w:pPr>
    </w:p>
    <w:bookmarkStart w:id="4" w:name="page5"/>
    <w:bookmarkEnd w:id="4"/>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CAUTIONARY STATEMENT ON FORWARD-LOOKING STATEMENTS</w:t>
      </w:r>
    </w:p>
    <w:p>
      <w:pPr>
        <w:spacing w:after="0" w:line="257" w:lineRule="exact"/>
        <w:rPr>
          <w:sz w:val="20"/>
          <w:szCs w:val="20"/>
          <w:color w:val="auto"/>
        </w:rPr>
      </w:pPr>
    </w:p>
    <w:p>
      <w:pPr>
        <w:ind w:left="10" w:right="120" w:firstLine="360"/>
        <w:spacing w:after="0" w:line="253" w:lineRule="auto"/>
        <w:rPr>
          <w:sz w:val="20"/>
          <w:szCs w:val="20"/>
          <w:color w:val="auto"/>
        </w:rPr>
      </w:pPr>
      <w:r>
        <w:rPr>
          <w:rFonts w:ascii="Times New Roman" w:cs="Times New Roman" w:eastAsia="Times New Roman" w:hAnsi="Times New Roman"/>
          <w:sz w:val="20"/>
          <w:szCs w:val="20"/>
          <w:color w:val="auto"/>
        </w:rPr>
        <w:t>This Annual Report on Form 10-K for the year ended December 31, 2024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213" w:lineRule="exact"/>
        <w:rPr>
          <w:sz w:val="20"/>
          <w:szCs w:val="20"/>
          <w:color w:val="auto"/>
        </w:rPr>
      </w:pPr>
    </w:p>
    <w:p>
      <w:pPr>
        <w:ind w:left="370" w:right="40" w:hanging="370"/>
        <w:spacing w:after="0" w:line="266"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adequately addressing the substantial doubt as to our ability to continue as a going concern and satisfy our liquidity needs, including the consummation of our refinancing transactions intended to extend our debt maturities and enhance our liquidity;</w:t>
      </w:r>
    </w:p>
    <w:p>
      <w:pPr>
        <w:spacing w:after="0" w:line="195" w:lineRule="exact"/>
        <w:rPr>
          <w:rFonts w:ascii="Times New Roman" w:cs="Times New Roman" w:eastAsia="Times New Roman" w:hAnsi="Times New Roman"/>
          <w:sz w:val="20"/>
          <w:szCs w:val="20"/>
          <w:color w:val="auto"/>
        </w:rPr>
      </w:pPr>
    </w:p>
    <w:p>
      <w:pPr>
        <w:ind w:left="370" w:right="4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subsidiaries, affiliates, joint ventures and special purpose entities in which we invest and their ability to make dividends or distributions to us;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and operational risks related to our facilities and assets, including cost overruns and delays;</w:t>
      </w:r>
    </w:p>
    <w:p>
      <w:pPr>
        <w:spacing w:after="0" w:line="250" w:lineRule="exact"/>
        <w:rPr>
          <w:rFonts w:ascii="Times New Roman" w:cs="Times New Roman" w:eastAsia="Times New Roman" w:hAnsi="Times New Roman"/>
          <w:sz w:val="20"/>
          <w:szCs w:val="20"/>
          <w:color w:val="auto"/>
        </w:rPr>
      </w:pPr>
    </w:p>
    <w:p>
      <w:pPr>
        <w:ind w:left="370" w:right="36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LNG or natural gas to be a competitive source of energy in the markets in which we operate, and seek to operate;</w:t>
      </w:r>
    </w:p>
    <w:p>
      <w:pPr>
        <w:spacing w:after="0" w:line="181" w:lineRule="exact"/>
        <w:rPr>
          <w:rFonts w:ascii="Times New Roman" w:cs="Times New Roman" w:eastAsia="Times New Roman" w:hAnsi="Times New Roman"/>
          <w:sz w:val="20"/>
          <w:szCs w:val="20"/>
          <w:color w:val="auto"/>
        </w:rPr>
      </w:pPr>
    </w:p>
    <w:p>
      <w:pPr>
        <w:jc w:val="both"/>
        <w:ind w:left="370" w:right="640" w:hanging="370"/>
        <w:spacing w:after="0" w:line="266"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95"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failure to obtain and maintain approvals and permits from governmental and regulatory agencies;</w:t>
      </w:r>
    </w:p>
    <w:p>
      <w:pPr>
        <w:spacing w:after="0" w:line="250" w:lineRule="exact"/>
        <w:rPr>
          <w:rFonts w:ascii="Times New Roman" w:cs="Times New Roman" w:eastAsia="Times New Roman" w:hAnsi="Times New Roman"/>
          <w:sz w:val="20"/>
          <w:szCs w:val="20"/>
          <w:color w:val="auto"/>
        </w:rPr>
      </w:pPr>
    </w:p>
    <w:p>
      <w:pPr>
        <w:ind w:left="370" w:right="10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 return on our investments for the development of our projects and assets and the implementation of our business strategy;</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sufficient working capital for the development and operation of our business and assets;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convert our customer pipeline into actual sales;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asset, geographic or customer diversification, including loss of one or more of our customers;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third parties in our business;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or other changes in the demand for and price of LNG and natural gas;</w:t>
      </w:r>
    </w:p>
    <w:p>
      <w:pPr>
        <w:spacing w:after="0" w:line="250" w:lineRule="exact"/>
        <w:rPr>
          <w:rFonts w:ascii="Times New Roman" w:cs="Times New Roman" w:eastAsia="Times New Roman" w:hAnsi="Times New Roman"/>
          <w:sz w:val="20"/>
          <w:szCs w:val="20"/>
          <w:color w:val="auto"/>
        </w:rPr>
      </w:pPr>
    </w:p>
    <w:p>
      <w:pPr>
        <w:ind w:left="370" w:right="50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procure LNG at necessary quantities or at favorable prices to meet customer demand, or otherwise to manage LNG supply and price risks, including hedging arrangements;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develop and implement our technological solutions;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service our debt and comply with our covenant restrictions;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obtain additional financing to effect our strategy;</w:t>
      </w:r>
    </w:p>
    <w:p>
      <w:pPr>
        <w:spacing w:after="0" w:line="250"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complete mergers, sales, divestments or similar transactions related to our businesses or assets or to integrate such businesses or assets and realize the anticipated benefits;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social and other risks related to the jurisdictions in which we do, or seek to do, business;</w:t>
      </w:r>
    </w:p>
    <w:p>
      <w:pPr>
        <w:sectPr>
          <w:pgSz w:w="12240" w:h="15840" w:orient="portrait"/>
          <w:cols w:equalWidth="0" w:num="1">
            <w:col w:w="9850"/>
          </w:cols>
          <w:pgMar w:left="1170" w:top="218" w:right="12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850"/>
          </w:cols>
          <w:pgMar w:left="1170" w:top="218" w:right="1220" w:bottom="0" w:gutter="0" w:footer="0" w:header="0"/>
          <w:type w:val="continuous"/>
        </w:sectPr>
      </w:pPr>
    </w:p>
    <w:bookmarkStart w:id="5" w:name="page6"/>
    <w:bookmarkEnd w:id="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events or other natural or manmade disasters or phenomena;</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future pandemic or any other major health and safety incident;</w:t>
      </w:r>
    </w:p>
    <w:p>
      <w:pPr>
        <w:spacing w:after="0" w:line="250" w:lineRule="exact"/>
        <w:rPr>
          <w:rFonts w:ascii="Times New Roman" w:cs="Times New Roman" w:eastAsia="Times New Roman" w:hAnsi="Times New Roman"/>
          <w:sz w:val="20"/>
          <w:szCs w:val="20"/>
          <w:color w:val="auto"/>
        </w:rPr>
      </w:pPr>
    </w:p>
    <w:p>
      <w:pPr>
        <w:ind w:left="370" w:right="24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labor costs, disputes or strikes, and the unavailability of skilled workers or our failure to attract and retain qualified personnel;</w:t>
      </w:r>
    </w:p>
    <w:p>
      <w:pPr>
        <w:spacing w:after="0" w:line="181" w:lineRule="exact"/>
        <w:rPr>
          <w:rFonts w:ascii="Times New Roman" w:cs="Times New Roman" w:eastAsia="Times New Roman" w:hAnsi="Times New Roman"/>
          <w:sz w:val="20"/>
          <w:szCs w:val="20"/>
          <w:color w:val="auto"/>
        </w:rPr>
      </w:pPr>
    </w:p>
    <w:p>
      <w:pPr>
        <w:ind w:left="370" w:right="62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treatment of, or changes in tax laws applicable to, us or our business or of an investment in our Class A common stock; and</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described in the “Risk Factors” section of this Annual Report.</w:t>
      </w:r>
    </w:p>
    <w:p>
      <w:pPr>
        <w:spacing w:after="0" w:line="250" w:lineRule="exact"/>
        <w:rPr>
          <w:sz w:val="20"/>
          <w:szCs w:val="20"/>
          <w:color w:val="auto"/>
        </w:rPr>
      </w:pPr>
    </w:p>
    <w:p>
      <w:pPr>
        <w:ind w:left="10" w:firstLine="360"/>
        <w:spacing w:after="0" w:line="255" w:lineRule="auto"/>
        <w:rPr>
          <w:sz w:val="20"/>
          <w:szCs w:val="20"/>
          <w:color w:val="auto"/>
        </w:rPr>
      </w:pPr>
      <w:r>
        <w:rPr>
          <w:rFonts w:ascii="Times New Roman" w:cs="Times New Roman" w:eastAsia="Times New Roman" w:hAnsi="Times New Roman"/>
          <w:sz w:val="20"/>
          <w:szCs w:val="20"/>
          <w:color w:val="auto"/>
        </w:rPr>
        <w:t>All forward-looking statements speak only as of the date of this Annual Report. 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ectPr>
          <w:pgSz w:w="12240" w:h="15840" w:orient="portrait"/>
          <w:cols w:equalWidth="0" w:num="1">
            <w:col w:w="9830"/>
          </w:cols>
          <w:pgMar w:left="117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830"/>
          </w:cols>
          <w:pgMar w:left="1170" w:top="218" w:right="124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Items 1 and 2.</w:t>
      </w:r>
      <w:r>
        <w:rPr>
          <w:sz w:val="20"/>
          <w:szCs w:val="20"/>
          <w:color w:val="auto"/>
        </w:rPr>
        <w:tab/>
      </w:r>
      <w:r>
        <w:rPr>
          <w:rFonts w:ascii="Times New Roman" w:cs="Times New Roman" w:eastAsia="Times New Roman" w:hAnsi="Times New Roman"/>
          <w:sz w:val="19"/>
          <w:szCs w:val="19"/>
          <w:b w:val="1"/>
          <w:bCs w:val="1"/>
          <w:color w:val="auto"/>
        </w:rPr>
        <w:t>Business and Properties</w:t>
      </w:r>
    </w:p>
    <w:p>
      <w:pPr>
        <w:spacing w:after="0" w:line="253" w:lineRule="exact"/>
        <w:rPr>
          <w:sz w:val="20"/>
          <w:szCs w:val="20"/>
          <w:color w:val="auto"/>
        </w:rPr>
      </w:pPr>
    </w:p>
    <w:p>
      <w:pPr>
        <w:ind w:right="300" w:firstLine="3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references to “Company,” “NFE,” “we,” “our,” “us” or like terms refer to New Fortress Energy Inc.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below under “Sustainability—Toward a Very-Low Carbon Future.”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deliver targeted energy solutions by employing an integrated LNG supply and delivery model:</w:t>
      </w:r>
    </w:p>
    <w:p>
      <w:pPr>
        <w:spacing w:after="0" w:line="246" w:lineRule="exact"/>
        <w:rPr>
          <w:sz w:val="20"/>
          <w:szCs w:val="20"/>
          <w:color w:val="auto"/>
        </w:rPr>
      </w:pPr>
    </w:p>
    <w:p>
      <w:pPr>
        <w:ind w:right="10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LNG and Natural Gas Supply and Liquefaction </w:t>
      </w:r>
      <w:r>
        <w:rPr>
          <w:rFonts w:ascii="Times New Roman" w:cs="Times New Roman" w:eastAsia="Times New Roman" w:hAnsi="Times New Roman"/>
          <w:sz w:val="20"/>
          <w:szCs w:val="20"/>
          <w:color w:val="auto"/>
        </w:rPr>
        <w:t>– We supply LNG and natural gas to our own power plants and to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We typically supply LNG and natural gas regasified from LNG to our customers by entering into long-term supply contracts, which are generally based on an index such as Henry Hub plus a fixed fee component. We acquire our LNG from third party suppliers in open market purchases and long-term supply agreements. Our first floating liquefaction unit, which we refer to as "Fast LNG" or "FLNG", began producing LNG in July 2024, and we plan to source a portion of our LNG needs from this facility.</w:t>
      </w:r>
    </w:p>
    <w:p>
      <w:pPr>
        <w:spacing w:after="0" w:line="202" w:lineRule="exact"/>
        <w:rPr>
          <w:sz w:val="20"/>
          <w:szCs w:val="20"/>
          <w:color w:val="auto"/>
        </w:rPr>
      </w:pPr>
    </w:p>
    <w:p>
      <w:pPr>
        <w:ind w:right="60"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Shipping </w:t>
      </w:r>
      <w:r>
        <w:rPr>
          <w:rFonts w:ascii="Times New Roman" w:cs="Times New Roman" w:eastAsia="Times New Roman" w:hAnsi="Times New Roman"/>
          <w:sz w:val="20"/>
          <w:szCs w:val="20"/>
          <w:color w:val="auto"/>
        </w:rPr>
        <w:t>– We lease, own or operate a fleet of seven regasification units (“FSRUs”) and 12 liquefied natural gas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carriers (“LNGCs”) and floating storage units (“FSUs”). Ten vessels are owned by Energos Infrastructure ("Energos"). We also charter vessels to and from third parties as well as from Energos.</w:t>
      </w:r>
    </w:p>
    <w:p>
      <w:pPr>
        <w:spacing w:after="0" w:line="190"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Facilities </w:t>
      </w:r>
      <w:r>
        <w:rPr>
          <w:rFonts w:ascii="Times New Roman" w:cs="Times New Roman" w:eastAsia="Times New Roman" w:hAnsi="Times New Roman"/>
          <w:sz w:val="20"/>
          <w:szCs w:val="20"/>
          <w:color w:val="auto"/>
        </w:rPr>
        <w:t>– Through our network of current and planned downstream facilities and logistics assets, we are strategically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positioned to deliver gas and power solutions to our customers seeking either to transition from environmentally dirtier distillate fuels such as automotive diesel oil (“ADO”) and heavy fuel oil (“HFO”) or to purchase natural gas to meet their current fuel needs.</w:t>
      </w:r>
    </w:p>
    <w:p>
      <w:pPr>
        <w:spacing w:after="0" w:line="200"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Model</w:t>
      </w:r>
    </w:p>
    <w:p>
      <w:pPr>
        <w:spacing w:after="0" w:line="257" w:lineRule="exact"/>
        <w:rPr>
          <w:sz w:val="20"/>
          <w:szCs w:val="20"/>
          <w:color w:val="auto"/>
        </w:rPr>
      </w:pPr>
    </w:p>
    <w:p>
      <w:pPr>
        <w:ind w:right="220" w:firstLine="360"/>
        <w:spacing w:after="0" w:line="254" w:lineRule="auto"/>
        <w:rPr>
          <w:sz w:val="20"/>
          <w:szCs w:val="20"/>
          <w:color w:val="auto"/>
        </w:rPr>
      </w:pPr>
      <w:r>
        <w:rPr>
          <w:rFonts w:ascii="Times New Roman" w:cs="Times New Roman" w:eastAsia="Times New Roman" w:hAnsi="Times New Roman"/>
          <w:sz w:val="20"/>
          <w:szCs w:val="20"/>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currently conduct our operations at the following facilities:</w:t>
      </w:r>
    </w:p>
    <w:p>
      <w:pPr>
        <w:spacing w:after="0" w:line="250"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LNG storage and regasification facility at the Port of Montego Bay, Jamaica (the “Montego Bay Facility”),</w:t>
      </w:r>
    </w:p>
    <w:p>
      <w:pPr>
        <w:spacing w:after="0" w:line="250" w:lineRule="exact"/>
        <w:rPr>
          <w:rFonts w:ascii="Times New Roman" w:cs="Times New Roman" w:eastAsia="Times New Roman" w:hAnsi="Times New Roman"/>
          <w:sz w:val="20"/>
          <w:szCs w:val="20"/>
          <w:color w:val="auto"/>
        </w:rPr>
      </w:pPr>
    </w:p>
    <w:p>
      <w:pPr>
        <w:ind w:left="720" w:right="80" w:hanging="37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marine LNG storage and regasification facility in Old Harbour, Jamaica (the “Old Harbour Facility”, together with the Montego Bay Facility, the “Jamaica Facilities”),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880"/>
          </w:cols>
          <w:pgMar w:left="1180" w:top="218" w:right="118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dual-fired combined heat and power ("CHP") facility in Clarendon, Jamaica (the "CHP Plant"),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landed micro-fuel handling facility in San Juan, Puerto Rico (the “San Juan Facility”)</w:t>
      </w:r>
    </w:p>
    <w:p>
      <w:pPr>
        <w:spacing w:after="0" w:line="25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LNG receiving facility (the “La Paz Facility”) and gas-fired power plant (the "La Paz Power Plant") at the Port of Pichilingue in Baja California Sur, Mexico, and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LNG receiving facility located on the southern coast of Brazil (the “Santa Catarina Facility” ).</w:t>
      </w:r>
    </w:p>
    <w:p>
      <w:pPr>
        <w:spacing w:after="0" w:line="250"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19"/>
          <w:szCs w:val="19"/>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Facilities</w:t>
      </w:r>
    </w:p>
    <w:p>
      <w:pPr>
        <w:spacing w:after="0" w:line="257"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We look to build facilities in locations where the need for natural gas is significant. We design and construct natural gas and power facilities to meet the supply and demand specifications of our current and potential future customers in an applicable region. In these markets, we first seek to identify and establish “beachhead” target markets for the sale of LNG, natural gas or natural gas-fired power, and we then seek to supply natural gas or power under long-term downstream contracts. Finally, our goal is to expand within the market and supply natural gas or power to additional industrial and transportation customers.</w:t>
      </w:r>
    </w:p>
    <w:p>
      <w:pPr>
        <w:spacing w:after="0" w:line="208"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facilities position us to acquire and supply LNG to customers and natural gas-fired power in a number of attractive markets around the world. Downstream, we have 14 facilities that are either operational or under active development. We currently have five operational LNG terminal facilities and three under active development, as well as two operational power plant facilities and four power plant facilities under active development, as described below. Our LNG facilities currently operating or under development are expected to be capable of receiving up to one million MMBtu from LNG per day depending upon the needs of our customers and potential demand in the region.</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is additional detail regarding each of our LNG and power facilities:</w:t>
      </w:r>
    </w:p>
    <w:p>
      <w:pPr>
        <w:spacing w:after="0" w:line="246" w:lineRule="exact"/>
        <w:rPr>
          <w:sz w:val="20"/>
          <w:szCs w:val="20"/>
          <w:color w:val="auto"/>
        </w:rPr>
      </w:pPr>
    </w:p>
    <w:p>
      <w:pPr>
        <w:ind w:right="16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Montego Bay, Jamaica </w:t>
      </w:r>
      <w:r>
        <w:rPr>
          <w:rFonts w:ascii="Times New Roman" w:cs="Times New Roman" w:eastAsia="Times New Roman" w:hAnsi="Times New Roman"/>
          <w:sz w:val="20"/>
          <w:szCs w:val="20"/>
          <w:color w:val="auto"/>
        </w:rPr>
        <w:t>– Our Montego Bay Facility commenced commercial operations in October 2016.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Montego Bay Facility is capable of processing up to 60,000 MMBtu from LNG per day and features approximately 7,000 cubic meters of onsite storage. It supplies natural gas to the 145MW power plant (the “Bogue Power Plant”) operated by Jamaica Public Service Company Limited (“JPS”) pursuant to a long-term contract for natural gas equivalent to approximately 25,000 MMBtu from LNG per day. The Montego Bay Facility also supplies numerous on-island industrial users with natural gas or LNG pursuant to offtake contracts of various durations. We have total aggregate contracted volumes of approximately 29,000 MMBtu from LNG per day at our Montego Bay Facility with a weighted average remaining contract length of 15 years as of December 31, 2024. We have the ability to service other potential customers with the excess capacity of the Montego Bay Facility, and we are seeking to enter into long-term contracts with new customers for such purposes.</w:t>
      </w:r>
    </w:p>
    <w:p>
      <w:pPr>
        <w:spacing w:after="0" w:line="206"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Old Harbour, Jamaica </w:t>
      </w:r>
      <w:r>
        <w:rPr>
          <w:rFonts w:ascii="Times New Roman" w:cs="Times New Roman" w:eastAsia="Times New Roman" w:hAnsi="Times New Roman"/>
          <w:sz w:val="20"/>
          <w:szCs w:val="20"/>
          <w:color w:val="auto"/>
        </w:rPr>
        <w:t>– Our Old Harbour Facility commenced commercial operations in June 2019. The Old Harbour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Facility is an offshore facility with storage and regasification equipment provided via FSRU. The offshore design eliminates the need for onshore infrastructure and storage tanks. It is capable of processing up to 750,000 MMBtu from LNG per day. The Old Harbour Facility is supplying gas to a 190MW gas-fired power plant (the “Old Harbour Power Plant”) owned and operated by South Jamaica Power Company Limited (“SJPC”) pursuant to a long-term contract for natural gas equivalent to approximately 30,000 MMBtu from LNG per day, and back-up ADO, for 20 years.</w:t>
      </w:r>
    </w:p>
    <w:p>
      <w:pPr>
        <w:spacing w:after="0" w:line="206"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Old Harbour Facility is also supplying gas to our 100MW CHP Plant, which we constructed, and which commenced commercial operations in March 2020. The CHP Plant is fueled by natural gas, with the ability to run on ADO as a backup fuel source. We have executed a suite of agreements in connection with the CHP Plant, including a 20-year agreement to supply steam to an alumina refinery joint venture between affiliates of Century Aluminum Company, and the Government of Jamaica, and we have a 20-year agreement to supply electricity to JPS.</w:t>
      </w:r>
    </w:p>
    <w:p>
      <w:pPr>
        <w:spacing w:after="0" w:line="204" w:lineRule="exact"/>
        <w:rPr>
          <w:sz w:val="20"/>
          <w:szCs w:val="20"/>
          <w:color w:val="auto"/>
        </w:rPr>
      </w:pPr>
    </w:p>
    <w:p>
      <w:pPr>
        <w:ind w:right="100" w:firstLine="360"/>
        <w:spacing w:after="0" w:line="309" w:lineRule="auto"/>
        <w:rPr>
          <w:sz w:val="20"/>
          <w:szCs w:val="20"/>
          <w:color w:val="auto"/>
        </w:rPr>
      </w:pPr>
      <w:r>
        <w:rPr>
          <w:rFonts w:ascii="Times New Roman" w:cs="Times New Roman" w:eastAsia="Times New Roman" w:hAnsi="Times New Roman"/>
          <w:sz w:val="19"/>
          <w:szCs w:val="19"/>
          <w:color w:val="auto"/>
        </w:rPr>
        <w:t>We have total aggregate contracted volumes of approximately 58,000 MMBtu from LNG per day at our Old Harbour Facility with a weighted average contract length of 15 years as of December 31, 2024. We have the ability to service other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880"/>
          </w:cols>
          <w:pgMar w:left="1180" w:top="218" w:right="11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20"/>
          <w:szCs w:val="20"/>
          <w:color w:val="auto"/>
        </w:rPr>
        <w:t>potential customers with the excess capacity of the Old Harbour Facility, and we are seeking to enter into long-term contracts with new customers for such purposes.</w:t>
      </w:r>
    </w:p>
    <w:p>
      <w:pPr>
        <w:spacing w:after="0" w:line="178"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 Juan, Puerto Rico </w:t>
      </w:r>
      <w:r>
        <w:rPr>
          <w:rFonts w:ascii="Times New Roman" w:cs="Times New Roman" w:eastAsia="Times New Roman" w:hAnsi="Times New Roman"/>
          <w:sz w:val="20"/>
          <w:szCs w:val="20"/>
          <w:color w:val="auto"/>
        </w:rPr>
        <w:t>– Our San Juan Facility became fully operational in July 2020. It is designed as a landed micro-fuel handling facility located in the Port of San Juan, Puerto Rico. The San Juan Facility has multiple truck loading bays to provide LNG to on-island industrial users. The San Juan Facility is near the Puerto Rico Electric Power Authority ("PREPA") San Juan Power Plant and serves as our supply hub for the PREPA San Juan Power Plant and other industrial end-user customers in Puerto Rico.</w:t>
      </w:r>
    </w:p>
    <w:p>
      <w:pPr>
        <w:spacing w:after="0" w:line="203"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In 2023, we entered into agreements for the installation and operation of approximately 350MW of power to be generated at the Palo Seco Power Plant and San Juan Power Plant in Puerto Rico as well as the supply of natural gas and ADO. Our customer was contracted by the U.S. Army Corps of Engineers to support the island’s grid stabilization project with additional power capacity to enable maintenance and repair work on Puerto Rico’s power system and grid. We commissioned 350MW of duel-fuel power generation using our gas supply in less than 180 days.</w:t>
      </w:r>
    </w:p>
    <w:p>
      <w:pPr>
        <w:spacing w:after="0" w:line="20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March 2024, our contract to provide emergency power services to support the grid stabilization project was terminated, and we completed a series of transactions that included the sale of turbines and related equipment deployed to support the grid stabilization project to PREPA. We were also awarded a new gas sale agreement with PREPA to supply up to 80 TBtu annually to PREPA's gas-fired power plants, including to the turbines that were sold to PREPA. The contract initially has a one year term that is renewable annually for three additional annual periods.</w:t>
      </w:r>
    </w:p>
    <w:p>
      <w:pPr>
        <w:spacing w:after="0" w:line="204"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We are pursuing a $659 million request for equitable adjustment related to the early termination of our contract to provide emergency power services. The actual amount of any such adjustment and the timing of any related payments may be materially different than management’s current estimate. As a result, the Company cannot offer any assurance as to the actual amount that may be recovered pursuant to such request or subsequent claim, if any.</w:t>
      </w:r>
    </w:p>
    <w:p>
      <w:pPr>
        <w:spacing w:after="0" w:line="203"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In the first quarter of 2023, our wholly-owned subsidiary, Genera PR LLC ("Genera"), was awarded a 10-year contract for the operation and maintenance of PREPA’s thermal generation assets with the goal of reducing costs and improving reliability of power generation in Puerto Rico. We receive an annual management fee and are eligible for performance-based incentive fees, beginning after the service period under the contract commenced on July 1, 2023.</w:t>
      </w:r>
    </w:p>
    <w:p>
      <w:pPr>
        <w:spacing w:after="0" w:line="200"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La Paz, Baja California Sur, Mexico </w:t>
      </w:r>
      <w:r>
        <w:rPr>
          <w:rFonts w:ascii="Times New Roman" w:cs="Times New Roman" w:eastAsia="Times New Roman" w:hAnsi="Times New Roman"/>
          <w:sz w:val="20"/>
          <w:szCs w:val="20"/>
          <w:color w:val="auto"/>
        </w:rPr>
        <w:t>– Our La Paz Facility commenced operations in the fourth quarter of 2021. It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LNG receiving facility located at the Port of Pichilingue in Baja California Sur, Mexico, receiving LNG via ISO containers on an offshore supply vehicle from a nearby vessel. Beginning in 2021, we have entered into a gas sales agreements with CFEnergia ("CFE"), a subsidiary of Federal Electricity Commission (</w:t>
      </w:r>
      <w:r>
        <w:rPr>
          <w:rFonts w:ascii="Times New Roman" w:cs="Times New Roman" w:eastAsia="Times New Roman" w:hAnsi="Times New Roman"/>
          <w:sz w:val="20"/>
          <w:szCs w:val="20"/>
          <w:b w:val="1"/>
          <w:bCs w:val="1"/>
          <w:i w:val="1"/>
          <w:iCs w:val="1"/>
          <w:color w:val="auto"/>
        </w:rPr>
        <w:t>Comisión Federal de Electricidad</w:t>
      </w:r>
      <w:r>
        <w:rPr>
          <w:rFonts w:ascii="Times New Roman" w:cs="Times New Roman" w:eastAsia="Times New Roman" w:hAnsi="Times New Roman"/>
          <w:sz w:val="20"/>
          <w:szCs w:val="20"/>
          <w:color w:val="auto"/>
        </w:rPr>
        <w:t>), Mexico’s power utility, for the supply of natural gas to power plants located at Punta Prieta and Coromuel in the State of Baja California Sur ("CFE Plants"), We continue to expand and extend our supply of natural gas to multiple CFE power generation facilities in Baja California Sur, and in the third quarter of 2024, we executed a 10-year gas sales agreement to supply natural gas to additional CFE facilities on take-or-pay basis.</w:t>
      </w:r>
    </w:p>
    <w:p>
      <w:pPr>
        <w:spacing w:after="0" w:line="209" w:lineRule="exact"/>
        <w:rPr>
          <w:sz w:val="20"/>
          <w:szCs w:val="20"/>
          <w:color w:val="auto"/>
        </w:rPr>
      </w:pPr>
    </w:p>
    <w:p>
      <w:pPr>
        <w:jc w:val="both"/>
        <w:ind w:right="100" w:firstLine="360"/>
        <w:spacing w:after="0" w:line="260" w:lineRule="auto"/>
        <w:rPr>
          <w:sz w:val="20"/>
          <w:szCs w:val="20"/>
          <w:color w:val="auto"/>
        </w:rPr>
      </w:pPr>
      <w:r>
        <w:rPr>
          <w:rFonts w:ascii="Times New Roman" w:cs="Times New Roman" w:eastAsia="Times New Roman" w:hAnsi="Times New Roman"/>
          <w:sz w:val="20"/>
          <w:szCs w:val="20"/>
          <w:color w:val="auto"/>
        </w:rPr>
        <w:t>The La Paz Facility also supplies our gas-fired power units located adjacent to the La Paz Facility (the “La Paz Power Plant”) and could have a maximum capacity of up to 135MW of power. We placed the La Paz Power Plant into service in the third quarter of 2023. We expect to sell approximately 38,000 MMBtu from LNG per day to CFE and for use in the La Paz Power Plant.</w:t>
      </w:r>
    </w:p>
    <w:p>
      <w:pPr>
        <w:spacing w:after="0" w:line="200"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Santa Catarina, Brazil </w:t>
      </w:r>
      <w:r>
        <w:rPr>
          <w:rFonts w:ascii="Times New Roman" w:cs="Times New Roman" w:eastAsia="Times New Roman" w:hAnsi="Times New Roman"/>
          <w:sz w:val="20"/>
          <w:szCs w:val="20"/>
          <w:color w:val="auto"/>
        </w:rPr>
        <w:t>– We placed our Santa Catarina Facility in service in the fourth quarter of 2024. The Santa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Catarina Facility is located on the southern coast of Brazil and consists of an FSRU with a processing capacity of approximately 500,000 MMBtu from LNG per day and LNG storage capacity of up to 138,000 cubic meters. We have developed and constructed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of natural gas.</w:t>
      </w:r>
    </w:p>
    <w:p>
      <w:pPr>
        <w:spacing w:after="0" w:line="207"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In August 2024, we acquired 100% of the outstanding equity interest of Usina Termeletrica de Lins S.A. ("Lins"), which owns key rights and permits to develop a natural gas-fired power plant for up to 2.05GW located in the State of Sao Paulo, within the city limits of Lins, Brazil. We expect to participate in upcoming power auctions in Brazil scheduled for June 2025, and to the extent that we are successful in these auctions, we expect to develop a gas-fired power plant using natural gas from the Santa Catarina Facility.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880"/>
          </w:cols>
          <w:pgMar w:left="1180" w:top="218" w:right="11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Barcarena, Brazil </w:t>
      </w:r>
      <w:r>
        <w:rPr>
          <w:rFonts w:ascii="Times New Roman" w:cs="Times New Roman" w:eastAsia="Times New Roman" w:hAnsi="Times New Roman"/>
          <w:sz w:val="20"/>
          <w:szCs w:val="20"/>
          <w:color w:val="auto"/>
        </w:rPr>
        <w:t>– Our LNG receiving facility located in the State of Pará, Brazil (the Barcarena Facility"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together with the Santa Catarina Facility, the "Brazil Facilities") consists of an FSRU and associated infrastructure, including mooring and offshore and onshore pipelines. The Barcarena Facility is capable of delivering almost 600,000 MMBtu from LNG per day and storing up to 160,000 cubic meters of LNG. We have entered into a 15-year gas supply agreement with a subsidiary of Norsk Hydro ASA for the supply of natural gas to the Alunorte Alumina Refinery in Pará, Brazil, through our Barcarena Facility. We have substantially completed our Barcarena Facility and are in process of final commissioning.</w:t>
      </w:r>
    </w:p>
    <w:p>
      <w:pPr>
        <w:spacing w:after="0" w:line="207"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The Barcarena Facility will also supply our new 630MW combined cycle natural gas-fired power plant to be located in Pará, Brazil (the “Barcarena Power Plant”). The power plant is fully contracted under multiple 25-year power purchase agreements to supply electricity to the national electricity grid. Construction of the Barcarena Power Plant was greater than 88% complete as of December 31, 2024. We expect to complete the Barcarena Power Plant in 2025.</w:t>
      </w:r>
    </w:p>
    <w:p>
      <w:pPr>
        <w:spacing w:after="0" w:line="20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In March 2024, we closed the acquisition of PortoCem Geração de Energia S.A. ("PortoCem"), a wholly-owned subsidiary of Ceiba Fundo de Investimento em Participações Multiestratégia- Investimento no Exterior ("Ceiba Energy") in exchange for newly issued 4.8% NFE redeemable Series A Convertible Preferred Stock. PortoCem is the owner of a 15-year 1.6GW capacity reserve contract in Brazil. We have transferred the 1.6 GW capacity reserve contract to a site owned by NFE that is adjacent to the Barcarena Facility, where NFE is building the 1.6 GW simple cycle, natural gas-fired power plant (the "PortoCem Power Plant") to supply the capacity reserve contract using gas from the Barcarena Facility. Construction of the PortoCem Power Plant was greater than 39% complete as of December 31, 2024, and we expect the PortoCem Power Plant to be complete in 2026.</w:t>
      </w:r>
    </w:p>
    <w:p>
      <w:pPr>
        <w:spacing w:after="0" w:line="20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Puerto Sandino, Nicaragua </w:t>
      </w:r>
      <w:r>
        <w:rPr>
          <w:rFonts w:ascii="Times New Roman" w:cs="Times New Roman" w:eastAsia="Times New Roman" w:hAnsi="Times New Roman"/>
          <w:sz w:val="20"/>
          <w:szCs w:val="20"/>
          <w:color w:val="auto"/>
        </w:rPr>
        <w:t>– We are developing an offshore liquefied natural gas receiving, transloading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regasification facility off the coast of Puerto Sandino, Nicaragua (the “Puerto Sandino Facility”). The Puerto Sandino Facility is expected to supply gas via a pipeline to our new approximately 300MW natural gas-fired power plant in Puerto Sandino, Nicaragua (the “Nicaragua Power Plant”) that we will own and operate. We have entered into a 25-year power purchase agreement with Nicaragua’s electricity distribution companies. We expect to utilize approximately 57,000 MMBtu from LNG per day to provide natural gas to the Puerto Sandino Power Plant in connection with the 25-year power purchase agreement. Construction of the terminal and power plant is substantially complete; however, we will determine timing of final commissioning and commencement under our PPA based on the most optimal use of our LNG supply chain. As part of our long-term strategy, we are also evaluating solutions to optimize power generation and delivery to other markets, connected to our power plant through a regional transmission line.</w:t>
      </w:r>
    </w:p>
    <w:p>
      <w:pPr>
        <w:spacing w:after="0" w:line="20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Shannon, Ireland </w:t>
      </w:r>
      <w:r>
        <w:rPr>
          <w:rFonts w:ascii="Times New Roman" w:cs="Times New Roman" w:eastAsia="Times New Roman" w:hAnsi="Times New Roman"/>
          <w:sz w:val="20"/>
          <w:szCs w:val="20"/>
          <w:color w:val="auto"/>
        </w:rPr>
        <w:t>– We intend to develop and operate an LNG facility (the “Ireland Facility” and, together with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Jamaica Facilities, the San Juan Facility, the Brazil Facilities, the La Paz Facility and the Puerto Sandino Facility, our “LNG Facilities”) and a power plant on the Shannon Estuary, near Tarbert, Ireland (the “Ireland Power Plant” and, together with the CHP Plant, La Paz Power Plant, Nicaragua Power Plant, Barcarena Power Plant and PortoCem Power Plant, the “Power Plants,” and together with the LNG Facilities, the “Facilities”).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 In the third quarter of 2023, An Bord Pleanála, Ireland's planning commission, denied our application for the development of an LNG terminal and power plant. We challenged this decision, and in September 2024, the High Court of Ireland ruled that the ABP did not have appropriate grounds for the denial of our permit. The ABP has been directed to reconsider our permit application in accordance with Irish law. The continued development of this project is uncertain and there are multiple risks, including regulatory risks, that could preclude the development of this project, and the results of these risks could have a material effect on our results of operations</w:t>
      </w:r>
      <w:r>
        <w:rPr>
          <w:rFonts w:ascii="Times New Roman" w:cs="Times New Roman" w:eastAsia="Times New Roman" w:hAnsi="Times New Roman"/>
          <w:sz w:val="20"/>
          <w:szCs w:val="20"/>
          <w:b w:val="1"/>
          <w:bCs w:val="1"/>
          <w:i w:val="1"/>
          <w:iCs w:val="1"/>
          <w:color w:val="auto"/>
        </w:rPr>
        <w:t>.</w:t>
      </w:r>
    </w:p>
    <w:p>
      <w:pPr>
        <w:spacing w:after="0" w:line="208"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ZeroParks </w:t>
      </w:r>
      <w:r>
        <w:rPr>
          <w:rFonts w:ascii="Times New Roman" w:cs="Times New Roman" w:eastAsia="Times New Roman" w:hAnsi="Times New Roman"/>
          <w:sz w:val="20"/>
          <w:szCs w:val="20"/>
          <w:color w:val="auto"/>
        </w:rPr>
        <w:t>– In 2020, we formed our Zero division to develop and operate facilities that produce clean hydrogen in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spacing w:after="0" w:line="203"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9"/>
          <w:szCs w:val="19"/>
          <w:color w:val="auto"/>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880"/>
          </w:cols>
          <w:pgMar w:left="1180" w:top="218" w:right="11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design, engineering and permitting for ZeroPark I. Additionally, we have secured a binding offtake commitment for the clean hydrogen produced at ZeroPark I. Once completed, we expect our Beaumont Facility to be the largest green hydrogen plant in the United States.</w:t>
      </w:r>
    </w:p>
    <w:p>
      <w:pPr>
        <w:spacing w:after="0" w:line="192" w:lineRule="exact"/>
        <w:rPr>
          <w:sz w:val="20"/>
          <w:szCs w:val="20"/>
          <w:color w:val="auto"/>
        </w:rPr>
      </w:pPr>
    </w:p>
    <w:p>
      <w:pPr>
        <w:ind w:right="160"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Klondike – </w:t>
      </w:r>
      <w:r>
        <w:rPr>
          <w:rFonts w:ascii="Times New Roman" w:cs="Times New Roman" w:eastAsia="Times New Roman" w:hAnsi="Times New Roman"/>
          <w:sz w:val="20"/>
          <w:szCs w:val="20"/>
          <w:color w:val="auto"/>
        </w:rPr>
        <w:t>In July 2024, we launched Klondike, a power and data center development business dedicated to working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hyperscale customers to build and operate data centers. This venture comes in response to a significant need for turnkey digital infrastructure to support the next stage of explosive growth in artificial intelligence.</w:t>
      </w:r>
    </w:p>
    <w:p>
      <w:pPr>
        <w:spacing w:after="0" w:line="193" w:lineRule="exact"/>
        <w:rPr>
          <w:sz w:val="20"/>
          <w:szCs w:val="20"/>
          <w:color w:val="auto"/>
        </w:rPr>
      </w:pPr>
    </w:p>
    <w:p>
      <w:pPr>
        <w:ind w:right="220" w:firstLine="360"/>
        <w:spacing w:after="0" w:line="260" w:lineRule="auto"/>
        <w:rPr>
          <w:sz w:val="20"/>
          <w:szCs w:val="20"/>
          <w:color w:val="auto"/>
        </w:rPr>
      </w:pPr>
      <w:r>
        <w:rPr>
          <w:rFonts w:ascii="Times New Roman" w:cs="Times New Roman" w:eastAsia="Times New Roman" w:hAnsi="Times New Roman"/>
          <w:sz w:val="20"/>
          <w:szCs w:val="20"/>
          <w:color w:val="auto"/>
        </w:rPr>
        <w:t>Klondike will develop independent power sources that utilize and provide behind-the-meter on-site power. This innovative approach is designed to address all major constraints of digital infrastructure development, providing grid stability, significant transmission capacity, power reliability, energy cost savings, and scalability. This approach not only reduces the demand for power from the grid but also contributes power back to it.</w:t>
      </w:r>
    </w:p>
    <w:p>
      <w:pPr>
        <w:spacing w:after="0" w:line="203"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Klondike plans to develop a geographically diverse portfolio of data center sites to satisfy the requirements of hyperscale users. Klondike has more than 1,000 acres of developable land across sites in Brazil, Ireland, and the United States that it either owns or leases. These locations have, or will have, large existing power plants or permits in process to build several gigawatts of power, connectivity to fiber networks, access to transmission and water.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LNG Supply</w:t>
      </w:r>
    </w:p>
    <w:p>
      <w:pPr>
        <w:spacing w:after="0" w:line="257"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NFE provides reliable, affordable and clean energy supplies to customers around the world that we plan to satisfy through the following sources: 1) our current contractual supply commitments; 2) our own FLNG production; and 3) additional LNG supply contracts expected to commence in 2027. Our first FLNG facility began to produce LNG in July 2024, and we expect to generate up to 70 TBtus annually from this facility. When expected production from FLNG is combined with our commitments to purchase and receive physical delivery of LNG volumes, we expect to have sufficient supply for 100% of our committed volumes for each of our downstream terminals inclusive of our Montego Bay Facility, Old Harbour Facility, San Juan Facility, La Paz Facility, Barcarena Facility and Santa Catarina Facility. Additionally, we have binding contracts for LNG volumes from two separate U.S. LNG facilities, each with a 20-year term, which are expected to commence in 2027 and 2029.</w:t>
      </w:r>
    </w:p>
    <w:p>
      <w:pPr>
        <w:spacing w:after="0" w:line="209"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color w:val="auto"/>
        </w:rPr>
        <w:t>Geopolitical events have substantially impacted and may continue to impact the natural gas and LNG markets, which have experienced significant volatility in recent years.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we plan to further mitigate our exposure to variability in LNG prices, and our long-term strategy is to sell substantially all cargos produced to customers on a long-term, take-or-pay basis through our downstream terminals.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Liquefaction Assets</w:t>
      </w:r>
    </w:p>
    <w:p>
      <w:pPr>
        <w:spacing w:after="0" w:line="254"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first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floating storage unit(s) will provide LNG storage alongside the floating liquefaction infrastructure, which can be deployed anywhere there is abundant and stranded natural gas.</w:t>
      </w:r>
    </w:p>
    <w:p>
      <w:pPr>
        <w:spacing w:after="0" w:line="210"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20"/>
          <w:szCs w:val="20"/>
          <w:color w:val="auto"/>
        </w:rPr>
        <w:t>Fast LNG is anchored by key benefits over conventional liquefaction projects. In particular, we believe installing modular equipment in a shipyard will meaningfully expedite timelines. In addition, placing solutions offshore provides greater access to natural gas and optimized marine logistics.</w:t>
      </w:r>
    </w:p>
    <w:p>
      <w:pPr>
        <w:spacing w:after="0" w:line="195"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9"/>
          <w:szCs w:val="19"/>
          <w:color w:val="auto"/>
        </w:rPr>
        <w:t>Our first Fast LNG unit has been deployed off the coast of Altamira, Tamaulipas, Mexico. The 1.4 million ton per annum (“MTPA”) FLNG unit will utilize CFE’s firm pipeline transportation capacity on the Sur de Texas-Tuxpan Pipeline to receive feedgas volumes. Our first FLNG unit has been installed and connected to the gas pipeline at Altamira, and we placed the asset into service for accounting purposes in the fourth quarter of 2024. While the asset is in service from an accounting perspective, we continue to finalize commissioning, and we expect to achieve run rate production in 2025.</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880"/>
          </w:cols>
          <w:pgMar w:left="1180" w:top="218" w:right="11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We expect to deploy up to two 1.4MTPA additional FLNG units onshore at the existing Altamira LNG import facility. The terminal would also source feedgas from the CFE from the Sur de Texas-Tuxpan Pipeline. The Altamira onshore LNG facility is a world class import facility that will be converted to export LNG similar to other gulf coast regasification terminals. Existing infrastructure at the facility includes two 150,000m3 storage tanks, deepwater marine berth and access to local gas and power networks.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Shipping Assets</w:t>
      </w:r>
    </w:p>
    <w:p>
      <w:pPr>
        <w:spacing w:after="0" w:line="257"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Our shipping assets include: FSRUs, FSUs and LNGCs, which are either leased to customers under long-term or spot arrangements or commercially operated by us. FSRUs provide offshore storage and regasification capabilities and are generally less costly and substantially faster to deploy compared to the construction and development of land-based LNG regasification and storage facilities. FSUs are floating storage assets, which often provide storage for LNG but are also capable of transporting LNG when required. LNGC's are vessels that transport LNG and are compatible with many LNG loading and receiving terminals globally.</w:t>
      </w:r>
    </w:p>
    <w:p>
      <w:pPr>
        <w:spacing w:after="0" w:line="20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August 2022, we completed a transaction (the “Energos Formation Transaction”) with an affiliate of Apollo Global Management, Inc., pursuant to which we transferred ownership of eleven vessels to Energos in exchange for approximately $1.85 billion in cash and a 20% equity interest in Energos. Ten of the vessels were subject to current or future charters with NFE.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 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w:t>
      </w:r>
    </w:p>
    <w:p>
      <w:pPr>
        <w:spacing w:after="0" w:line="213"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shipping assets are included in our two operating segments, Ships and Terminals and Infrastructure. Certain vessels are currently charted to third parties under long-term arrangements and are part of the Energos Formation Transaction; such vessels are included in our Ships segment. Vessels we operate at our Facilities, in our LNG supply chain or decide to sub-charter are included in our Terminals and Infrastructure segment. At the expiration of third-party charters of vessels owned by Energos, an entity formed in 2022 and described in more detail below, we plan to charter these vessels for our own use. We exclude these vessels from our Ships segment and include them in our Terminals and Infrastructure segment once we begin to charter the vessels directly from Energos. We maintain flexibility to deploy vessels in our Terminals and Infrastructure segment as needed to operate our LNG supply chain and serve our downstream customers or to sub-charter to monetize excess capacity.</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860"/>
          </w:cols>
          <w:pgMar w:left="1180" w:top="218" w:right="120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are tables containing additional detail regarding each vessel in our operating segments: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Ships Segment: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189865</wp:posOffset>
                </wp:positionV>
                <wp:extent cx="60579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4.95pt" to="494.5pt,14.95pt" o:allowincell="f" strokecolor="#000000" strokeweight="1pt"/>
            </w:pict>
          </mc:Fallback>
        </mc:AlternateContent>
      </w:r>
    </w:p>
    <w:p>
      <w:pPr>
        <w:spacing w:after="0" w:line="266"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1900" w:type="dxa"/>
            <w:vAlign w:val="bottom"/>
            <w:vMerge w:val="restart"/>
          </w:tcPr>
          <w:p>
            <w:pPr>
              <w:ind w:left="7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00" w:type="dxa"/>
            <w:vAlign w:val="bottom"/>
            <w:vMerge w:val="restart"/>
          </w:tcPr>
          <w:p>
            <w:pPr>
              <w:ind w:left="50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Capacity (cubic</w:t>
            </w:r>
          </w:p>
        </w:tc>
        <w:tc>
          <w:tcPr>
            <w:tcW w:w="1620" w:type="dxa"/>
            <w:vAlign w:val="bottom"/>
            <w:vMerge w:val="restart"/>
          </w:tcPr>
          <w:p>
            <w:pPr>
              <w:ind w:left="68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122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Contract</w:t>
            </w:r>
          </w:p>
        </w:tc>
        <w:tc>
          <w:tcPr>
            <w:tcW w:w="162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0" w:type="dxa"/>
            <w:vAlign w:val="bottom"/>
          </w:tcPr>
          <w:p>
            <w:pPr>
              <w:spacing w:after="0"/>
              <w:rPr>
                <w:sz w:val="1"/>
                <w:szCs w:val="1"/>
                <w:color w:val="auto"/>
              </w:rPr>
            </w:pPr>
          </w:p>
        </w:tc>
      </w:tr>
      <w:tr>
        <w:trPr>
          <w:trHeight w:val="160"/>
        </w:trPr>
        <w:tc>
          <w:tcPr>
            <w:tcW w:w="190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76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meters of LNG)</w:t>
            </w:r>
          </w:p>
        </w:tc>
        <w:tc>
          <w:tcPr>
            <w:tcW w:w="1620" w:type="dxa"/>
            <w:vAlign w:val="bottom"/>
            <w:vMerge w:val="continue"/>
          </w:tcPr>
          <w:p>
            <w:pPr>
              <w:spacing w:after="0"/>
              <w:rPr>
                <w:sz w:val="13"/>
                <w:szCs w:val="13"/>
                <w:color w:val="auto"/>
              </w:rPr>
            </w:pPr>
          </w:p>
        </w:tc>
        <w:tc>
          <w:tcPr>
            <w:tcW w:w="122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Energos Igloo</w:t>
            </w:r>
          </w:p>
        </w:tc>
        <w:tc>
          <w:tcPr>
            <w:tcW w:w="1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FSRU</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Netherlands</w:t>
            </w:r>
          </w:p>
        </w:tc>
        <w:tc>
          <w:tcPr>
            <w:tcW w:w="0" w:type="dxa"/>
            <w:vAlign w:val="bottom"/>
          </w:tcPr>
          <w:p>
            <w:pPr>
              <w:spacing w:after="0"/>
              <w:rPr>
                <w:sz w:val="1"/>
                <w:szCs w:val="1"/>
                <w:color w:val="auto"/>
              </w:rPr>
            </w:pPr>
          </w:p>
        </w:tc>
      </w:tr>
      <w:tr>
        <w:trPr>
          <w:trHeight w:val="300"/>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Energos Eskimo</w:t>
            </w:r>
          </w:p>
        </w:tc>
        <w:tc>
          <w:tcPr>
            <w:tcW w:w="1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FSRU</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Kingdom of Jordan</w:t>
            </w:r>
          </w:p>
        </w:tc>
        <w:tc>
          <w:tcPr>
            <w:tcW w:w="0" w:type="dxa"/>
            <w:vAlign w:val="bottom"/>
          </w:tcPr>
          <w:p>
            <w:pPr>
              <w:spacing w:after="0"/>
              <w:rPr>
                <w:sz w:val="1"/>
                <w:szCs w:val="1"/>
                <w:color w:val="auto"/>
              </w:rPr>
            </w:pPr>
          </w:p>
        </w:tc>
      </w:tr>
      <w:tr>
        <w:trPr>
          <w:trHeight w:val="300"/>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Nusantara Regas Satu</w:t>
            </w:r>
          </w:p>
        </w:tc>
        <w:tc>
          <w:tcPr>
            <w:tcW w:w="1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FSRU</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-575310</wp:posOffset>
            </wp:positionV>
            <wp:extent cx="6083300" cy="59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083300" cy="59690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Terminals and Infrastructure Segment: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189865</wp:posOffset>
                </wp:positionV>
                <wp:extent cx="60579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4.95pt" to="494.5pt,14.95pt" o:allowincell="f" strokecolor="#000000" strokeweight="1pt"/>
            </w:pict>
          </mc:Fallback>
        </mc:AlternateContent>
      </w: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000" w:type="dxa"/>
            <w:vAlign w:val="bottom"/>
            <w:vMerge w:val="restart"/>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80" w:type="dxa"/>
            <w:vAlign w:val="bottom"/>
            <w:vMerge w:val="restart"/>
          </w:tcPr>
          <w:p>
            <w:pPr>
              <w:ind w:left="44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6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Capacity (cubic</w:t>
            </w:r>
          </w:p>
        </w:tc>
        <w:tc>
          <w:tcPr>
            <w:tcW w:w="16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118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Contract</w:t>
            </w: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0" w:type="dxa"/>
            <w:vAlign w:val="bottom"/>
          </w:tcPr>
          <w:p>
            <w:pPr>
              <w:spacing w:after="0"/>
              <w:rPr>
                <w:sz w:val="1"/>
                <w:szCs w:val="1"/>
                <w:color w:val="auto"/>
              </w:rPr>
            </w:pPr>
          </w:p>
        </w:tc>
      </w:tr>
      <w:tr>
        <w:trPr>
          <w:trHeight w:val="160"/>
        </w:trPr>
        <w:tc>
          <w:tcPr>
            <w:tcW w:w="20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meters of LNG)</w:t>
            </w:r>
          </w:p>
        </w:tc>
        <w:tc>
          <w:tcPr>
            <w:tcW w:w="1660" w:type="dxa"/>
            <w:vAlign w:val="bottom"/>
            <w:vMerge w:val="continue"/>
          </w:tcPr>
          <w:p>
            <w:pPr>
              <w:spacing w:after="0"/>
              <w:rPr>
                <w:sz w:val="13"/>
                <w:szCs w:val="13"/>
                <w:color w:val="auto"/>
              </w:rPr>
            </w:pPr>
          </w:p>
        </w:tc>
        <w:tc>
          <w:tcPr>
            <w:tcW w:w="118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Orion Sea</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JP Morgan</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35"/>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Cobia LNG</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174,000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Cheniere / TMS</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60"/>
        </w:trPr>
        <w:tc>
          <w:tcPr>
            <w:tcW w:w="20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Cardiff Gas</w:t>
            </w:r>
          </w:p>
        </w:tc>
        <w:tc>
          <w:tcPr>
            <w:tcW w:w="1180" w:type="dxa"/>
            <w:vAlign w:val="bottom"/>
            <w:vMerge w:val="continue"/>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Energy Endurance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Alpha Gas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Hoegh Gallant</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Hoegh LNG</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Jamaica</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Celsius</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NFE Penguin</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Gaslog Singapore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Gaslog</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 Virgin Islands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Maria</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Grand</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Winter</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Princess</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Freeze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Drydock</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Coral Encanto</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Anthony Veder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16"/>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CNTIC Vpower Global</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16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CNTIC Vpower</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60"/>
        </w:trPr>
        <w:tc>
          <w:tcPr>
            <w:tcW w:w="20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Holdings</w:t>
            </w:r>
          </w:p>
        </w:tc>
        <w:tc>
          <w:tcPr>
            <w:tcW w:w="1180" w:type="dxa"/>
            <w:vAlign w:val="bottom"/>
            <w:vMerge w:val="continue"/>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Avenir Accolade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Avenir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Coral Anthelia</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Anthony Veder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-3280410</wp:posOffset>
            </wp:positionV>
            <wp:extent cx="6083300" cy="3302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083300" cy="3302000"/>
                    </a:xfrm>
                    <a:prstGeom prst="rect">
                      <a:avLst/>
                    </a:prstGeom>
                    <a:noFill/>
                  </pic:spPr>
                </pic:pic>
              </a:graphicData>
            </a:graphic>
          </wp:anchor>
        </w:drawing>
      </w:r>
    </w:p>
    <w:p>
      <w:pPr>
        <w:spacing w:after="0" w:line="271" w:lineRule="exact"/>
        <w:rPr>
          <w:sz w:val="20"/>
          <w:szCs w:val="20"/>
          <w:color w:val="auto"/>
        </w:rPr>
      </w:pPr>
    </w:p>
    <w:p>
      <w:pPr>
        <w:ind w:right="440" w:firstLine="360"/>
        <w:spacing w:after="0" w:line="281" w:lineRule="auto"/>
        <w:rPr>
          <w:sz w:val="20"/>
          <w:szCs w:val="20"/>
          <w:color w:val="auto"/>
        </w:rPr>
      </w:pPr>
      <w:r>
        <w:rPr>
          <w:rFonts w:ascii="Times New Roman" w:cs="Times New Roman" w:eastAsia="Times New Roman" w:hAnsi="Times New Roman"/>
          <w:sz w:val="20"/>
          <w:szCs w:val="20"/>
          <w:color w:val="auto"/>
        </w:rPr>
        <w:t>We also lease, own and operate various operating service vessels, tugboats and other vessels to support our global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Customers</w:t>
      </w:r>
    </w:p>
    <w:p>
      <w:pPr>
        <w:spacing w:after="0" w:line="25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Our downstream customers are, and we expect future customers to be, a mix of power, transportation and industrial users of natural gas and LNG, as well as local power generation, distribution companies, including private and governmental owned or controlled. We seek to substantially reduce our customers’ fuel costs while providing them with a cleaner-burning, more environmentally-friendly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208" w:lineRule="exact"/>
        <w:rPr>
          <w:sz w:val="20"/>
          <w:szCs w:val="20"/>
          <w:color w:val="auto"/>
        </w:rPr>
      </w:pPr>
    </w:p>
    <w:p>
      <w:pPr>
        <w:ind w:right="560" w:firstLine="360"/>
        <w:spacing w:after="0" w:line="266" w:lineRule="auto"/>
        <w:rPr>
          <w:sz w:val="20"/>
          <w:szCs w:val="20"/>
          <w:color w:val="auto"/>
        </w:rPr>
      </w:pPr>
      <w:r>
        <w:rPr>
          <w:rFonts w:ascii="Times New Roman" w:cs="Times New Roman" w:eastAsia="Times New Roman" w:hAnsi="Times New Roman"/>
          <w:sz w:val="20"/>
          <w:szCs w:val="20"/>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95" w:lineRule="exact"/>
        <w:rPr>
          <w:sz w:val="20"/>
          <w:szCs w:val="20"/>
          <w:color w:val="auto"/>
        </w:rPr>
      </w:pPr>
    </w:p>
    <w:p>
      <w:pPr>
        <w:ind w:right="360" w:firstLine="360"/>
        <w:spacing w:after="0" w:line="260" w:lineRule="auto"/>
        <w:rPr>
          <w:sz w:val="20"/>
          <w:szCs w:val="20"/>
          <w:color w:val="auto"/>
        </w:rPr>
      </w:pPr>
      <w:r>
        <w:rPr>
          <w:rFonts w:ascii="Times New Roman" w:cs="Times New Roman" w:eastAsia="Times New Roman" w:hAnsi="Times New Roman"/>
          <w:sz w:val="20"/>
          <w:szCs w:val="20"/>
          <w:color w:val="auto"/>
        </w:rPr>
        <w:t>We continue to have significant concentrations in revenue. Revenue from three customers constituted 48% of total revenue in 2024; no other customers comprised more than 10% of our revenue. For the year ended December 31, 2023, revenue from two significant customers constituted 47% of our total revenue. For the year ended December 31, 2022, revenue from two significant customers constituted 42% of our total revenue.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ectPr>
          <w:pgSz w:w="12240" w:h="15840" w:orient="portrait"/>
          <w:cols w:equalWidth="0" w:num="1">
            <w:col w:w="9900"/>
          </w:cols>
          <w:pgMar w:left="1180" w:top="218" w:right="11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We have several contracts with government-affiliated entities in the countries in which we operate. In Jamaica, we have gas sales agreements with JPS and SJPC. In Puerto Rico, we have a fuel sale and purchase agreement with PREPA, and Genera operates and maintains PREPA's thermal generation assets. In Mexico, we have entered into a gas sales agreement with CFE. In Nicaragua, we have entered into a 25-year power purchase agreement with Nicaragua’s electricity distribution companies, some of which are wholly or partially owned or controlled by governmental entities. In Brazil, we have entered into various power purchase agreements with local distribution companies, some of which are wholly or partially owned or controlled by governmental entities.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ind w:right="180" w:firstLine="360"/>
        <w:spacing w:after="0" w:line="286" w:lineRule="auto"/>
        <w:rPr>
          <w:sz w:val="20"/>
          <w:szCs w:val="20"/>
          <w:color w:val="auto"/>
        </w:rPr>
      </w:pPr>
      <w:r>
        <w:rPr>
          <w:rFonts w:ascii="Times New Roman" w:cs="Times New Roman" w:eastAsia="Times New Roman" w:hAnsi="Times New Roman"/>
          <w:sz w:val="19"/>
          <w:szCs w:val="19"/>
          <w:color w:val="auto"/>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spacing w:after="0" w:line="179" w:lineRule="exact"/>
        <w:rPr>
          <w:sz w:val="20"/>
          <w:szCs w:val="20"/>
          <w:color w:val="auto"/>
        </w:rPr>
      </w:pPr>
    </w:p>
    <w:p>
      <w:pPr>
        <w:ind w:left="1080" w:right="100" w:hanging="370"/>
        <w:spacing w:after="0" w:line="281"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integrated marketers whose advantages include large amounts of capital and the ability to offer a wide range of services and market numerous products other than natural gas;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producer marketers who sell natural gas they produce or which is produced by an affiliated company;</w:t>
      </w:r>
    </w:p>
    <w:p>
      <w:pPr>
        <w:spacing w:after="0" w:line="250" w:lineRule="exact"/>
        <w:rPr>
          <w:rFonts w:ascii="Times New Roman" w:cs="Times New Roman" w:eastAsia="Times New Roman" w:hAnsi="Times New Roman"/>
          <w:sz w:val="20"/>
          <w:szCs w:val="20"/>
          <w:color w:val="auto"/>
        </w:rPr>
      </w:pPr>
    </w:p>
    <w:p>
      <w:pPr>
        <w:ind w:left="1080" w:right="420" w:hanging="370"/>
        <w:spacing w:after="0" w:line="281"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small geographically focused marketers who focus their marketing on the geographic area in which their affiliated distributor operates; and</w:t>
      </w:r>
    </w:p>
    <w:p>
      <w:pPr>
        <w:spacing w:after="0" w:line="181" w:lineRule="exact"/>
        <w:rPr>
          <w:rFonts w:ascii="Times New Roman" w:cs="Times New Roman" w:eastAsia="Times New Roman" w:hAnsi="Times New Roman"/>
          <w:sz w:val="20"/>
          <w:szCs w:val="20"/>
          <w:color w:val="auto"/>
        </w:rPr>
      </w:pPr>
    </w:p>
    <w:p>
      <w:pPr>
        <w:jc w:val="both"/>
        <w:ind w:left="1080" w:right="100" w:hanging="370"/>
        <w:spacing w:after="0" w:line="309" w:lineRule="auto"/>
        <w:tabs>
          <w:tab w:leader="none" w:pos="10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aggregators who gather small volumes of natural gas from various sources, combine them and sell the larger volumes for more favorable prices and terms than would be possible selling the smaller volumes separately.</w:t>
      </w:r>
    </w:p>
    <w:p>
      <w:pPr>
        <w:spacing w:after="0" w:line="157"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purchasing LNG, we compete for supplies of LNG with:</w:t>
      </w:r>
    </w:p>
    <w:p>
      <w:pPr>
        <w:spacing w:after="0" w:line="250" w:lineRule="exact"/>
        <w:rPr>
          <w:sz w:val="20"/>
          <w:szCs w:val="20"/>
          <w:color w:val="auto"/>
        </w:rPr>
      </w:pPr>
    </w:p>
    <w:p>
      <w:pPr>
        <w:ind w:left="1080" w:right="100" w:hanging="370"/>
        <w:spacing w:after="0" w:line="309" w:lineRule="auto"/>
        <w:tabs>
          <w:tab w:leader="none" w:pos="10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 multinational and national companies with longer operating histories, more development experience, greater name recognition, larger staffs and substantially greater financial, technical and marketing resources;</w:t>
      </w:r>
    </w:p>
    <w:p>
      <w:pPr>
        <w:spacing w:after="0" w:line="157" w:lineRule="exact"/>
        <w:rPr>
          <w:rFonts w:ascii="Times New Roman" w:cs="Times New Roman" w:eastAsia="Times New Roman" w:hAnsi="Times New Roman"/>
          <w:sz w:val="19"/>
          <w:szCs w:val="19"/>
          <w:color w:val="auto"/>
        </w:rPr>
      </w:pPr>
    </w:p>
    <w:p>
      <w:pPr>
        <w:ind w:left="1080" w:hanging="37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oil and gas producers who sell or control LNG derived from their international oil and gas properties; and</w:t>
      </w:r>
    </w:p>
    <w:p>
      <w:pPr>
        <w:spacing w:after="0" w:line="250" w:lineRule="exact"/>
        <w:rPr>
          <w:rFonts w:ascii="Times New Roman" w:cs="Times New Roman" w:eastAsia="Times New Roman" w:hAnsi="Times New Roman"/>
          <w:sz w:val="20"/>
          <w:szCs w:val="20"/>
          <w:color w:val="auto"/>
        </w:rPr>
      </w:pPr>
    </w:p>
    <w:p>
      <w:pPr>
        <w:ind w:left="1080" w:right="40" w:hanging="370"/>
        <w:spacing w:after="0" w:line="281"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purchasers located in other countries where prevailing market prices can be substantially different from those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5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Our infrastructure business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DOE Export</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DOE issued an order authorizing us, through our subsidiary, NFEnergía LLC, to import LNG from various international sources by vessel at our San Juan Facility up to a total volume equivalent to 80 Bcf of natural gas over the two-year period beginning March 26, 2020 which we did in 2022 and will start the process of renewing it again in 2024. NFEnergía LLC must renew its authorization every two years. Imports of LNG are deemed to be consistent with the public interest under Section 3 of the Natural Gas Act (“NGA”) and applications for such imports must be granted without modification or delay. In August 2024, we received authorization from the DOE to export up to 1.4 million tonnes per annum of LNG to non-FTA countries from our Altamira Facility for a term of five years.</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2240" w:h="15840" w:orient="portrait"/>
          <w:cols w:equalWidth="0" w:num="1">
            <w:col w:w="9840"/>
          </w:cols>
          <w:pgMar w:left="1180" w:top="218" w:right="122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FERC Authorization</w:t>
      </w:r>
    </w:p>
    <w:p>
      <w:pPr>
        <w:spacing w:after="0" w:line="259"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The Federal Energy Regulatory Commission (“FERC”) regulates the siting, construction and operation of “LNG terminals” under NGA Section 3. In consultation with our outside counsel and, where appropriate, FERC staff, we have designed and constructed our U.S. facilities so that they do not meet the statutory definition of an “LNG terminal” as interpreted by FERC pursuant to its case law.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spacing w:after="0" w:line="216"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w:t>
      </w:r>
    </w:p>
    <w:p>
      <w:pPr>
        <w:spacing w:after="0" w:line="208"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On September 26, 2024, the United States Coast Guard (“USCG”) filed a Letter of Recommendation with FERC in which it assessed our Letter of Intent dated April 12, 2024, and our Waterway Suitability Assessment, dated August 26, 2024, in respect of future ship to ship transfers with alternative vessels, and recommended against the allowance of the proposed operations. Further, the USCG issued a Letter of Warning in respect of our ongoing ship to ship transfers of LNG operations within the San Juan port limits. On October 21, 2024, we filed an appeal with the USCG under 33 CFR 160.7 and we received a response from the USCG on December 23, 2024 denying our appeal. In December 2024 and February 2025, we submitted an updated Letter of Intent and Waterway Suitability Assessments detailing our alternative operations plans to the USCG and are working collaboratively with the USCG to obtain a new Letter of Recommendation to FERC in support of our operations, which we expect to be imminently forthcoming. In concert with our collaboration with the USCG regarding our new operational plans, we withdrew our appeal on February 14, 2025.</w:t>
      </w:r>
    </w:p>
    <w:p>
      <w:pPr>
        <w:spacing w:after="0" w:line="216"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On October 25, 2024, FERC issued a notice of intent to prepare an Environmental Impact Statement, which included, among other things, two public scoping sessions in Puerto Rico held on November 18, 2024 in accordance with the National Environmental Policy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Pipeline and Hazardous Materials Safety Administration</w:t>
      </w:r>
    </w:p>
    <w:p>
      <w:pPr>
        <w:spacing w:after="0" w:line="25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Many LNG facilities are also subject to regulation by the Department of Transportation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213" w:lineRule="exact"/>
        <w:rPr>
          <w:sz w:val="20"/>
          <w:szCs w:val="20"/>
          <w:color w:val="auto"/>
        </w:rPr>
      </w:pPr>
    </w:p>
    <w:p>
      <w:pPr>
        <w:ind w:right="80" w:firstLine="360"/>
        <w:spacing w:after="0" w:line="269" w:lineRule="auto"/>
        <w:rPr>
          <w:sz w:val="20"/>
          <w:szCs w:val="20"/>
          <w:color w:val="auto"/>
        </w:rPr>
      </w:pPr>
      <w:r>
        <w:rPr>
          <w:rFonts w:ascii="Times New Roman" w:cs="Times New Roman" w:eastAsia="Times New Roman" w:hAnsi="Times New Roman"/>
          <w:sz w:val="19"/>
          <w:szCs w:val="19"/>
          <w:color w:val="auto"/>
        </w:rPr>
        <w:t>In December 2019, PHMSA granted a special permit to one of our subsidiaries to ship LNG by rail, which would allow us to transport the LNG produced by the Pennsylvania Facility to a port for transloading onto marine vessels. This special permit expired on November 30, 2021, at which time our subsidiary applied for its renewal. On April 24, 2023, PHMSA issued a decision denying this special permit renewal request. On July 24, 2020, PHMSA issued a final rule authorizing the nationwide transportation of LNG by rail in DOT–113C120W specification rail tank cars, subject to all applicable requirements and certain additional operational controls. The appeal period for the special permit has expired. However, in November 2021, PHMSA issued a proposed rule to rescind the final rule authorizing nationwide transportation. In September 2023, DOT promulgated a rule that suspends authorization of LNG transportation by rail pending the earlier of either completion of a rulemaking evaluating potential modifications to requirements governing tank</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2240" w:h="15840" w:orient="portrait"/>
          <w:cols w:equalWidth="0" w:num="1">
            <w:col w:w="9880"/>
          </w:cols>
          <w:pgMar w:left="1180" w:top="218" w:right="11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car transportation of LNG under the Hazardous Materials Regulations at 49 C.F.R. Parts 171-180 or by June 30, 2025, whichever is earlier. In January 2025, the Washington DC Court of Appeals vacated the rule allowing LNG transportation by rail. We have the ability to transport LNG from our Pennsylvania Facility via truck, and this logistical solution is available to us should we be unable to transport by rail.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w:t>
      </w:r>
    </w:p>
    <w:p>
      <w:pPr>
        <w:spacing w:after="0" w:line="25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Our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213" w:lineRule="exact"/>
        <w:rPr>
          <w:sz w:val="20"/>
          <w:szCs w:val="20"/>
          <w:color w:val="auto"/>
        </w:rPr>
      </w:pPr>
    </w:p>
    <w:p>
      <w:pPr>
        <w:ind w:right="400" w:firstLine="360"/>
        <w:spacing w:after="0" w:line="281" w:lineRule="auto"/>
        <w:rPr>
          <w:sz w:val="20"/>
          <w:szCs w:val="20"/>
          <w:color w:val="auto"/>
        </w:rPr>
      </w:pPr>
      <w:r>
        <w:rPr>
          <w:rFonts w:ascii="Times New Roman" w:cs="Times New Roman" w:eastAsia="Times New Roman" w:hAnsi="Times New Roman"/>
          <w:sz w:val="20"/>
          <w:szCs w:val="20"/>
          <w:color w:val="auto"/>
        </w:rPr>
        <w:t>Other local laws and regulations, including local zoning laws, critical infrastructure regulations and fire protection codes, may also affect where and how we operate.</w:t>
      </w:r>
    </w:p>
    <w:p>
      <w:pPr>
        <w:spacing w:after="0" w:line="181" w:lineRule="exact"/>
        <w:rPr>
          <w:sz w:val="20"/>
          <w:szCs w:val="20"/>
          <w:color w:val="auto"/>
        </w:rPr>
      </w:pPr>
    </w:p>
    <w:p>
      <w:pPr>
        <w:ind w:right="280" w:firstLine="360"/>
        <w:spacing w:after="0" w:line="281" w:lineRule="auto"/>
        <w:rPr>
          <w:sz w:val="20"/>
          <w:szCs w:val="20"/>
          <w:color w:val="auto"/>
        </w:rPr>
      </w:pPr>
      <w:r>
        <w:rPr>
          <w:rFonts w:ascii="Times New Roman" w:cs="Times New Roman" w:eastAsia="Times New Roman" w:hAnsi="Times New Roman"/>
          <w:sz w:val="20"/>
          <w:szCs w:val="20"/>
          <w:color w:val="auto"/>
        </w:rPr>
        <w:t>The costs of compliance with these requirements are not expected to have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Mexico</w:t>
      </w:r>
    </w:p>
    <w:p>
      <w:pPr>
        <w:spacing w:after="0" w:line="25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Mexican law comprehensively regulates the energy sector, including all aspects of the receipt, delivery, import, export, storage, marketing, liquefaction, and regasification of LNG; the generation and transmission of electricity; and the environmental impact of all these activities. Various Mexican federal agencies regulate these activities including, the Ministry of Energy, Ministry of the Navy, Ministry of Environment and Natural Resources, Ministry of Infrastructure, Communication and Transportation, the Energy Regulatory Commission, and the Safety, Energy &amp; Environment Agency. State and local agencies are also involved in regulating these activities, issuing permits and authorizing the use of property for such purposes. To obtain permits and approvals required under Mexican law for the development, construction and operation of energy-related projects in Mexico, such projects must first complete environmental and social impact assessments, which are subject to the evaluation by the authorities. In addition, all hydrocarbon projects must include an environmental risk assessment, which is based on a thorough risk analysis made prior to each stage and aimed at identifying potential design and operational hazards. Mexican law allows the governmental entities and, in certain cases, individuals, to pursue claims against violations of environmental laws or permits issued pursuant to such laws.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Jamaica</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operations in Jamaica are governed by various environmental laws and regulations. These laws and regulations are largely implemented through the National Environment and Planning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but we cannot assure you that this will be the case in the future. Jamaica is also in the process of developing a law to govern the receipt, storage, processing and distribution of natural gas, as well as requirements for the licensing, construction, and operation of natural gas facilities and transportation.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Nicaragua</w:t>
      </w:r>
    </w:p>
    <w:p>
      <w:pPr>
        <w:spacing w:after="0" w:line="25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the future.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2240" w:h="15840" w:orient="portrait"/>
          <w:cols w:equalWidth="0" w:num="1">
            <w:col w:w="9880"/>
          </w:cols>
          <w:pgMar w:left="1180" w:top="218" w:right="11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Ireland</w:t>
      </w:r>
    </w:p>
    <w:p>
      <w:pPr>
        <w:spacing w:after="0" w:line="259"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The operation of the facilities will be regulated via additional licenses and consents including from the Environmental Protection Agency (EPA); the Commission for Regulation of Utilities (CRU); the Health and Safety Authority (HSA); and the Local Planning Authority (Kerry Co. Council (KCC)). Additionally, the Shannon Foynes Port Company (SFPC) has statutory jurisdiction over marine activities. The LNG Terminal and Power Plant will also have to operate within the provisions of a number of codes, such as the EirGrid Transmission Network Grid Code, Single Electricity Market Trading and Settlement Code and GNI Code of Operations. We are in the process of applying for all these necessary permits, licenses and consents to build and complete the Ireland Facility.</w:t>
      </w:r>
    </w:p>
    <w:p>
      <w:pPr>
        <w:spacing w:after="0" w:line="210"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The issuance of many of these permits may be subject to administrative or judicial challenges, including by non-governmental groups that act on behalf of citizens. We intend to begin construction of the Ireland Facility after we have obtained planning permission and secured contracts with downstream customers for volumes that are sufficient to support the development of the Ireland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Brazil</w:t>
      </w:r>
    </w:p>
    <w:p>
      <w:pPr>
        <w:spacing w:after="0" w:line="259" w:lineRule="exact"/>
        <w:rPr>
          <w:sz w:val="20"/>
          <w:szCs w:val="20"/>
          <w:color w:val="auto"/>
        </w:rPr>
      </w:pPr>
    </w:p>
    <w:p>
      <w:pPr>
        <w:ind w:right="300" w:firstLine="360"/>
        <w:spacing w:after="0" w:line="253" w:lineRule="auto"/>
        <w:rPr>
          <w:sz w:val="20"/>
          <w:szCs w:val="20"/>
          <w:color w:val="auto"/>
        </w:rPr>
      </w:pPr>
      <w:r>
        <w:rPr>
          <w:rFonts w:ascii="Times New Roman" w:cs="Times New Roman" w:eastAsia="Times New Roman" w:hAnsi="Times New Roman"/>
          <w:sz w:val="20"/>
          <w:szCs w:val="20"/>
          <w:color w:val="auto"/>
        </w:rPr>
        <w:t>Our operations in Brazil are governed by various environmental laws and regulations. These laws and regulations cover social and environmental impacts, air emissions, discharges and treatment of residues, and emergency response, among others. According to Brazilian environmental legislation, the environmental licensing for energy generation activities must follow three stages: a Preliminary License that authorizes the design of the project and the location of the enterprise, an Installation License that authorizes the start of the implementation activities and, an Operating License, which authorizes the actual start of the activity. At each stage, specific environmental plans and studies are required to assess and mitigate the impacts on the environment. In addition, other authorizations may be required by environmental authorities on a local (municipal), state and federal level, including, but not limited to, permits to suppress vegetation, authorization for fauna management, and permission to address and/or otherwise mitigate impacts on affected communities, and others.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Puerto Rico</w:t>
      </w:r>
    </w:p>
    <w:p>
      <w:pPr>
        <w:spacing w:after="0" w:line="2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operations in Puerto Rico are subject to various Puerto Rico laws and regulations relating to the protection of the environment, natural resources and human health. Puerto Rico has enacted a number of different statutes and regulations in order to implement the requirements of federal environmental laws on operations on the island. Environmental statutes and regulations are largely implemented by the Puerto Rico Department of Environment and Natural Resources. As part of its operations, our San Juan Facility is required to comply with Clean Water Act requirements for stormwater and Clean Air Act requirements for facility emission sources. These laws and their related regulations require permits for the operation of the facilities and the implementation of mitigation measures to address environmental impacts of facility operations. Additionally, our operations in Puerto Rico are subject to regulation by the Department of Transportation and Public Works (“DTOP”). DTOP has been delegated authority from DOT to regulate both the distribution of natural gas through road transportation and facilities that operate natural gas pipelines. All deliveries of LNG by truck in Puerto Rico are subject to federal requirements for the ISO containers that hold the LNG and for the transport of the LNG by truck. Any expansion or increased stringency of these requirements may increase compliance costs for our operations in Puerto Rico.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and International Maritime Regulations of LNG Vessels</w:t>
      </w:r>
    </w:p>
    <w:p>
      <w:pPr>
        <w:spacing w:after="0" w:line="25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describing procedures for responding to emergencies.</w:t>
      </w:r>
    </w:p>
    <w:p>
      <w:pPr>
        <w:spacing w:after="0" w:line="21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2240" w:h="15840" w:orient="portrait"/>
          <w:cols w:equalWidth="0" w:num="1">
            <w:col w:w="9900"/>
          </w:cols>
          <w:pgMar w:left="1180" w:top="218" w:right="116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we cannot with any certainty predict what additional regulations, if any, may be passed by the IMO and what effect, if any, such regulation may have on our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Import and Export Control Laws and Regulations</w:t>
      </w:r>
    </w:p>
    <w:p>
      <w:pPr>
        <w:spacing w:after="0" w:line="25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Anti-corruption Laws and Regulations</w:t>
      </w:r>
    </w:p>
    <w:p>
      <w:pPr>
        <w:spacing w:after="0" w:line="259"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are also subject to anti-corruption laws and regulations, including the U.S. Foreign Corrupt Practices Act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 and other anti-corruption laws and regulations, developing and implementing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Suppliers and Working Capital</w:t>
      </w:r>
    </w:p>
    <w:p>
      <w:pPr>
        <w:spacing w:after="0" w:line="257"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We expect to continue to supply our downstream customers with LNG and natural gas sourced from a combination of long-term, LNG contracts with attractive terms, purchases on the open market and our own FLNG production.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ind w:right="180" w:firstLine="360"/>
        <w:spacing w:after="0" w:line="271" w:lineRule="auto"/>
        <w:rPr>
          <w:sz w:val="20"/>
          <w:szCs w:val="20"/>
          <w:color w:val="auto"/>
        </w:rPr>
      </w:pPr>
      <w:r>
        <w:rPr>
          <w:rFonts w:ascii="Times New Roman" w:cs="Times New Roman" w:eastAsia="Times New Roman" w:hAnsi="Times New Roman"/>
          <w:sz w:val="19"/>
          <w:szCs w:val="19"/>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The Brazilian electric integrated system is largely dependent on hydro-generated power, which is affected during dry seasons, requiring other sources of power, such as natural gas-fired thermal power station, to dispatch more or less based on the amount of the rainfall during any period. Due to these seasonal fluctuations, results of operations for individual quarterly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2240" w:h="15840" w:orient="portrait"/>
          <w:cols w:equalWidth="0" w:num="1">
            <w:col w:w="9880"/>
          </w:cols>
          <w:pgMar w:left="1180" w:top="218" w:right="11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color w:val="auto"/>
        </w:rPr>
        <w:t>periods may not be indicative of the results that may be realized on an annual basis. Severe weather in the countries where our Facilities are located may delay completion of our Facilities under development and related infrastructure, adversely affect our operations of our Facilities and affect the markets in which we operate. We are also particularly exposed to the risks posed by hurricanes, tropical storms and their collateral effects, in particular with respect to fleet operations, floating offshore liquefaction units and other infrastructure we may develop in connection with our Fast LNG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Insurance Coverage</w:t>
      </w:r>
    </w:p>
    <w:p>
      <w:pPr>
        <w:spacing w:after="0" w:line="25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including policies related to property, equipment, automobile, marine, pollution liability, general liability and the portion of workers’ compensation not covered under a governmental program.</w:t>
      </w:r>
    </w:p>
    <w:p>
      <w:pPr>
        <w:spacing w:after="0" w:line="204"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We maintain property insurance, including named windstorm and flood, related to the operation of the Miami Facility, San Juan Facility, the La Paz Facility, and the Jamaica Facilities and builders risk insurance at our Facilities under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5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had 682 NFE full-time employees and 722 Genera full-time employees as of December 31, 2024. We depend upon our skilled workforce to manage, operate and plan for our business. Recruitment and retention of talent across our company enables growth and innovation across a multitude of corporate initiatives, and this is one of our top priorities.</w:t>
      </w:r>
    </w:p>
    <w:p>
      <w:pPr>
        <w:spacing w:after="0" w:line="195" w:lineRule="exact"/>
        <w:rPr>
          <w:sz w:val="20"/>
          <w:szCs w:val="20"/>
          <w:color w:val="auto"/>
        </w:rPr>
      </w:pPr>
    </w:p>
    <w:p>
      <w:pPr>
        <w:ind w:right="680" w:firstLine="360"/>
        <w:spacing w:after="0" w:line="266" w:lineRule="auto"/>
        <w:rPr>
          <w:sz w:val="20"/>
          <w:szCs w:val="20"/>
          <w:color w:val="auto"/>
        </w:rPr>
      </w:pPr>
      <w:r>
        <w:rPr>
          <w:rFonts w:ascii="Times New Roman" w:cs="Times New Roman" w:eastAsia="Times New Roman" w:hAnsi="Times New Roman"/>
          <w:sz w:val="20"/>
          <w:szCs w:val="20"/>
          <w:color w:val="auto"/>
        </w:rPr>
        <w:t>Our Human Resources team oversees human capital management, including talent attraction and retention, compensation and bonuses, employee relations, employee engagement and training and development in the various countries in which we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Culture and Inclusivity</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employees are critical to the success of our business. We value a broad range of perspectives in our workplace and are committed to maintaining culture where our employees feel valued, welcomed and can thrive. We are subject to various federal, state and local laws related to labor and employment, including matters related to workplace discrimination, harassment and unlawful retaliation in the jurisdictions in which we operate. We have developed and published our Code of Business Conduct, which sets out a guideline in connection with these matters and reflects our high expectations for an ethical workplace where employees are treated with dignity and respect. Because labor and employment laws and regulations can differ among the jurisdictions in which we operate, our Code of Business Conduct operates as a guideline for practices, but does not cover every legal aspect in each of our locations.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committed to advancing our culture of inclusivity through the following actions, among others:</w:t>
      </w:r>
    </w:p>
    <w:p>
      <w:pPr>
        <w:spacing w:after="0" w:line="250" w:lineRule="exact"/>
        <w:rPr>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collecting and analyzing employee workforce data;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harassment trainings; and</w:t>
      </w:r>
    </w:p>
    <w:p>
      <w:pPr>
        <w:spacing w:after="0" w:line="250" w:lineRule="exact"/>
        <w:rPr>
          <w:rFonts w:ascii="Times New Roman" w:cs="Times New Roman" w:eastAsia="Times New Roman" w:hAnsi="Times New Roman"/>
          <w:sz w:val="20"/>
          <w:szCs w:val="20"/>
          <w:color w:val="auto"/>
        </w:rPr>
      </w:pPr>
    </w:p>
    <w:p>
      <w:pPr>
        <w:ind w:left="720" w:right="360" w:hanging="37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employee benefits to include additional health programs such as mental health support and medical concierge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Health, Safety and Wellness</w:t>
      </w:r>
    </w:p>
    <w:p>
      <w:pPr>
        <w:spacing w:after="0" w:line="257"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We are subject to various health, safety, and environmental laws and regulations in the jurisdictions in which we operate. We have developed and published a Health, Safety, Security and Environment (HSSE) Strategic Framework, which sets out a guideline in connection with risk management, education/training, emergency response, incident management, performance measurement and other key programmatic drivers. Because health, safety, and environmental laws and regulations can differ among the jurisdictions in which we operate, our HSSE Strategic Framework operates as a guideline for practices, but is not binding or required. We also have developed and published a contractor safety management handbook for our contractors.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2240" w:h="15840" w:orient="portrait"/>
          <w:cols w:equalWidth="0" w:num="1">
            <w:col w:w="9880"/>
          </w:cols>
          <w:pgMar w:left="1180" w:top="218" w:right="11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the year ended December 31, 2024, we had no fatalities across our operating sites.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w:t>
      </w:r>
    </w:p>
    <w:p>
      <w:pPr>
        <w:spacing w:after="0" w:line="257"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We lease space for our offices in New York, New York, Houston, Texas, Rio de Janeiro, Brazil, Mexico City, Mexico and San Juan, Puerto Rico, and in other regions in which we operate. We own the properties on which our Pennsylvania Facility will be located. Additionally, the properties on which our Facilities, including the CHP Plant, are located are generally subject to long-term leases and rights-of-way. Our leased properties are subject to various lease terms and expirations.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Sustainability</w:t>
      </w:r>
    </w:p>
    <w:p>
      <w:pPr>
        <w:spacing w:after="0" w:line="25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Since our founding in 2014, sustainability has been at the core of our mission and vision. We believe that a sustainable future built on positive energy is the way forward. To advance both our business model and the interests of our stakeholders— including our people, shareholders and investors, partners, the communities we serve, and the wider public —we have established four key sustainability goals: (i) protect and preserve the environment, (ii) empower people worldwide, (iii) invest in communities, and (iv) become a leading provider of very-low-carbon energy. Our sustainability initiatives and investments under each of these goals are highlighted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Protect and Preserve the Environment</w:t>
      </w:r>
    </w:p>
    <w:p>
      <w:pPr>
        <w:spacing w:after="0" w:line="259"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are committed to our goal to protect and preserve the environment, and we progress this goal by providing cleaner energy solutions around the world. With our projects, we strive to reduce carbon emissions and increase energy efficiency. By helping our customers convert from traditional fuels such as oil or coal to LNG as their energy source, we seek to reduce air-polluting emissions of nitrogen oxide (NOx), carbon dioxide (CO2), sulfur oxide (SOx), and fine particulate matter, among others. Moreover, we believe that the use of LNG as a complement to renewable power options is helping the transition to a sustainably-sourced energy future</w:t>
      </w:r>
      <w:r>
        <w:rPr>
          <w:rFonts w:ascii="Times New Roman" w:cs="Times New Roman" w:eastAsia="Times New Roman" w:hAnsi="Times New Roman"/>
          <w:sz w:val="24"/>
          <w:szCs w:val="24"/>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Empower People Worldwide</w:t>
      </w:r>
    </w:p>
    <w:p>
      <w:pPr>
        <w:spacing w:after="0" w:line="25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We are committed to our goal to provide access to affordable, reliable, cleaner energy. To that end, we help our customers customize and implement LNG energy solutions designed to lower their energy costs, reduce their environmental footprint, and improve their energy efficiency, either by converting their existing power generation to LNG or by building brand-new gas-fired facilities. In addition, we seek to provide a reliable supply of LNG to our customers, wherever located, through our established, integrated LNG logistics chain.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 in Communities</w:t>
      </w:r>
    </w:p>
    <w:p>
      <w:pPr>
        <w:spacing w:after="0" w:line="25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are committed to our goal to improve lives and support people, especially in the communities where we operate. For example, through our New Fortress Energy Foundation, we seek to strengthen our communities by (i) investing in education to help support the next generation of leaders; (ii) providing industry training programs to help create and sustain a well-equipped workforce; and (iii) giving financially to community causes that enhance quality of life, including reducing poverty, hunger, and inequities. For the year-ended December 31, 2024, we:</w:t>
      </w:r>
    </w:p>
    <w:p>
      <w:pPr>
        <w:spacing w:after="0" w:line="204"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Hired 186 full-time employees globally, prioritizing local hires in each region;</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Awarded 60 engineering and STEM scholarships across three universities in Jamaica;</w:t>
      </w:r>
    </w:p>
    <w:p>
      <w:pPr>
        <w:spacing w:after="0" w:line="250" w:lineRule="exact"/>
        <w:rPr>
          <w:rFonts w:ascii="Times New Roman" w:cs="Times New Roman" w:eastAsia="Times New Roman" w:hAnsi="Times New Roman"/>
          <w:sz w:val="20"/>
          <w:szCs w:val="20"/>
          <w:color w:val="auto"/>
        </w:rPr>
      </w:pPr>
    </w:p>
    <w:p>
      <w:pPr>
        <w:ind w:left="720" w:right="70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financial aid for 2,000 students, covering tuition, school supplies, medical, and college exams in Jamaica;</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Supported 1,255 students participating in STEM activities in Jamaica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Developed the workforce with internship programs and professional courses for 5 students in Jamaica;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medical screenings to 500 children in Jamaica;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Donated essential supplies to 50 elderly individuals in Mexico;</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2240" w:h="15840" w:orient="portrait"/>
          <w:cols w:equalWidth="0" w:num="1">
            <w:col w:w="9880"/>
          </w:cols>
          <w:pgMar w:left="1180" w:top="218" w:right="11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Donated towards a Children’s Day event to celebrate 300 children in Mexico;</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Donated towards the development of a multipurpose field for 150 children in Nicaragua;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Sponsored an event for 200,000 students to explore the field of natural gas in Brazil;</w:t>
      </w:r>
    </w:p>
    <w:p>
      <w:pPr>
        <w:spacing w:after="0" w:line="250" w:lineRule="exact"/>
        <w:rPr>
          <w:rFonts w:ascii="Times New Roman" w:cs="Times New Roman" w:eastAsia="Times New Roman" w:hAnsi="Times New Roman"/>
          <w:sz w:val="20"/>
          <w:szCs w:val="20"/>
          <w:color w:val="auto"/>
        </w:rPr>
      </w:pPr>
    </w:p>
    <w:p>
      <w:pPr>
        <w:ind w:left="760" w:hanging="410"/>
        <w:spacing w:after="0"/>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Donated towards the construction of a community center to support 5,000 children and adults in Brazil;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Empowered local communities by hosting events and activities for 400 families in Brazil.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Toward a Low Carbon Future</w:t>
      </w:r>
    </w:p>
    <w:p>
      <w:pPr>
        <w:spacing w:after="0" w:line="259" w:lineRule="exact"/>
        <w:rPr>
          <w:sz w:val="20"/>
          <w:szCs w:val="20"/>
          <w:color w:val="auto"/>
        </w:rPr>
      </w:pPr>
    </w:p>
    <w:p>
      <w:pPr>
        <w:ind w:right="20" w:firstLine="350"/>
        <w:spacing w:after="0" w:line="254" w:lineRule="auto"/>
        <w:rPr>
          <w:sz w:val="20"/>
          <w:szCs w:val="20"/>
          <w:color w:val="auto"/>
        </w:rPr>
      </w:pPr>
      <w:r>
        <w:rPr>
          <w:rFonts w:ascii="Times New Roman" w:cs="Times New Roman" w:eastAsia="Times New Roman" w:hAnsi="Times New Roman"/>
          <w:sz w:val="20"/>
          <w:szCs w:val="20"/>
          <w:color w:val="212121"/>
        </w:rPr>
        <w:t>As we work to reduce greenhouse gas (GHG) emissions for our customers around the world, our goals are to reach net zero carbon emissions by 2030 for Scope 1 and 2 emissions for our initial Facilities and be one of the world’s leading providers of low-carbon energy. We believe that natural gas remains a cost-effective and environmentally-friendly complement for intermittent renewable energy, aiding the growth of these technologies. Over time, we believe that hydrogen will play an increasingly significant role in the decarbonization of hard to abate corners of the global economy supporting renewable development and displacing fossil fuels. To that end, we formed a division, which we call ZeroParks, to evaluate promising technologies and pursue initiatives that will position us to capitalize on this emerging industry. In January 2025, the U.S. Treasury Department released the final rules for clean hydrogen production tax credits. We are in the process of analyzing these rules and the impact they may have on our clean hydrogen business</w:t>
      </w:r>
      <w:r>
        <w:rPr>
          <w:rFonts w:ascii="Times New Roman" w:cs="Times New Roman" w:eastAsia="Times New Roman" w:hAnsi="Times New Roman"/>
          <w:sz w:val="20"/>
          <w:szCs w:val="20"/>
          <w:color w:val="000000"/>
        </w:rPr>
        <w:t>.</w:t>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highlight w:val="white"/>
        </w:rPr>
        <w:t>.</w:t>
      </w:r>
    </w:p>
    <w:p>
      <w:pPr>
        <w:spacing w:after="0" w:line="20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204"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Additionally, we have made our annual Sustainability Report and environmental, social and governance (“ESG”) related documents available on our website, www.newfortressenergy.com, to provide more detailed information regarding our human capital programs and initiatives as well as our efforts to manage ESG issues.</w:t>
      </w:r>
    </w:p>
    <w:p>
      <w:pPr>
        <w:spacing w:after="0" w:line="1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3"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34" w:lineRule="exact"/>
        <w:rPr>
          <w:sz w:val="20"/>
          <w:szCs w:val="20"/>
          <w:color w:val="auto"/>
        </w:rPr>
      </w:pPr>
    </w:p>
    <w:p>
      <w:pPr>
        <w:ind w:right="20" w:firstLine="360"/>
        <w:spacing w:after="0" w:line="235" w:lineRule="auto"/>
        <w:rPr>
          <w:sz w:val="20"/>
          <w:szCs w:val="20"/>
          <w:color w:val="auto"/>
        </w:rPr>
      </w:pPr>
      <w:r>
        <w:rPr>
          <w:rFonts w:ascii="Times New Roman" w:cs="Times New Roman" w:eastAsia="Times New Roman" w:hAnsi="Times New Roman"/>
          <w:sz w:val="20"/>
          <w:szCs w:val="20"/>
          <w:color w:val="auto"/>
        </w:rPr>
        <w:t>Some of the factors that could materially and adversely affect our business, financial condition, results of operations or prospects include the following</w:t>
      </w:r>
      <w:r>
        <w:rPr>
          <w:rFonts w:ascii="Times New Roman" w:cs="Times New Roman" w:eastAsia="Times New Roman" w:hAnsi="Times New Roman"/>
          <w:sz w:val="24"/>
          <w:szCs w:val="24"/>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Business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2240" w:h="15840" w:orient="portrait"/>
          <w:cols w:equalWidth="0" w:num="1">
            <w:col w:w="9880"/>
          </w:cols>
          <w:pgMar w:left="1180" w:top="218" w:right="11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right="400" w:hanging="370"/>
        <w:spacing w:after="0" w:line="260" w:lineRule="auto"/>
        <w:tabs>
          <w:tab w:leader="none" w:pos="72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Our ability to implement our business strategy may be materially and adversely affected by many known and unknown factors;</w:t>
      </w:r>
    </w:p>
    <w:p>
      <w:pPr>
        <w:spacing w:after="0" w:line="1" w:lineRule="exact"/>
        <w:rPr>
          <w:rFonts w:ascii="Times New Roman" w:cs="Times New Roman" w:eastAsia="Times New Roman" w:hAnsi="Times New Roman"/>
          <w:sz w:val="20"/>
          <w:szCs w:val="20"/>
          <w:b w:val="1"/>
          <w:bCs w:val="1"/>
          <w:i w:val="1"/>
          <w:iCs w:val="1"/>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various construction risks;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 of our infrastructure, facilities and vessels involves significant risks;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third-party contractors, operators and suppliers;</w:t>
      </w:r>
    </w:p>
    <w:p>
      <w:pPr>
        <w:spacing w:after="0" w:line="10" w:lineRule="exact"/>
        <w:rPr>
          <w:rFonts w:ascii="Times New Roman" w:cs="Times New Roman" w:eastAsia="Times New Roman" w:hAnsi="Times New Roman"/>
          <w:sz w:val="20"/>
          <w:szCs w:val="20"/>
          <w:color w:val="auto"/>
        </w:rPr>
      </w:pPr>
    </w:p>
    <w:p>
      <w:pPr>
        <w:ind w:left="720" w:right="400" w:hanging="370"/>
        <w:spacing w:after="0" w:line="26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LNG to be a competitive source of energy in the markets in which we operate, and seek to operate, could adversely affect our expansion strategy;</w:t>
      </w:r>
    </w:p>
    <w:p>
      <w:pPr>
        <w:spacing w:after="0" w:line="9" w:lineRule="exact"/>
        <w:rPr>
          <w:rFonts w:ascii="Times New Roman" w:cs="Times New Roman" w:eastAsia="Times New Roman" w:hAnsi="Times New Roman"/>
          <w:sz w:val="20"/>
          <w:szCs w:val="20"/>
          <w:color w:val="auto"/>
        </w:rPr>
      </w:pPr>
    </w:p>
    <w:p>
      <w:pPr>
        <w:ind w:left="720" w:right="56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highly regulated environment and our operations could be adversely affected by actions by governmental entities or changes to regulations and legislation;</w:t>
      </w:r>
    </w:p>
    <w:p>
      <w:pPr>
        <w:ind w:left="720" w:right="14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and maintain permits, approvals and authorizations from governmental and regulatory agencies and third parties on favorable terms could impede operations and construction;</w:t>
      </w:r>
    </w:p>
    <w:p>
      <w:pPr>
        <w:ind w:left="720" w:right="100" w:hanging="370"/>
        <w:spacing w:after="0" w:line="264"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generate revenues is substantially dependent on our current and future long-term agreements and the performance by customers under such agreements;</w:t>
      </w:r>
    </w:p>
    <w:p>
      <w:pPr>
        <w:ind w:left="720" w:right="240" w:hanging="370"/>
        <w:spacing w:after="0" w:line="250"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lack of asset and geographic diversification could have an adverse effect on our business, contracts, financial condition, operating results, cash flow, liquidity and prospects;</w:t>
      </w:r>
    </w:p>
    <w:p>
      <w:pPr>
        <w:ind w:left="720" w:right="120" w:hanging="370"/>
        <w:spacing w:after="0" w:line="250"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we are currently dependent upon a limited number of customers, the loss of a significant customer could adversely affect our operating results;</w:t>
      </w:r>
    </w:p>
    <w:p>
      <w:pPr>
        <w:ind w:left="720" w:hanging="370"/>
        <w:spacing w:after="0" w:line="250"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convert our anticipated customer pipeline into binding long-term contracts, and if we fail to convert potential sales into actual sales, we will not generate the revenues and profits we anticipate;</w:t>
      </w:r>
    </w:p>
    <w:p>
      <w:pPr>
        <w:ind w:left="720" w:right="180" w:hanging="370"/>
        <w:spacing w:after="0" w:line="250"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or other changes in the demand for and price of LNG and natural gas may adversely affect our business and the performance of our customers;</w:t>
      </w:r>
    </w:p>
    <w:p>
      <w:pPr>
        <w:ind w:left="720" w:right="60" w:hanging="370"/>
        <w:spacing w:after="0" w:line="250"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risk management strategies cannot eliminate all LNG price and supply risks. In addition, any non-compliance with our risk management strategies could result in significant financial losses;</w:t>
      </w:r>
    </w:p>
    <w:p>
      <w:pPr>
        <w:ind w:left="720" w:right="300" w:hanging="370"/>
        <w:spacing w:after="0" w:line="250"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third-party LNG suppliers and the development of our own portfolio is subject to various risks and assumptions;</w:t>
      </w:r>
    </w:p>
    <w:p>
      <w:pPr>
        <w:ind w:left="720" w:right="16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LNG that is processed, transported and/or stored on FSRUs and transported via pipeline is subject to risk of loss or damage;</w:t>
      </w: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tankers and other vessels outside of our fleet for our LNG transportation and transfer;</w:t>
      </w:r>
    </w:p>
    <w:p>
      <w:pPr>
        <w:spacing w:after="0" w:line="10" w:lineRule="exact"/>
        <w:rPr>
          <w:rFonts w:ascii="Times New Roman" w:cs="Times New Roman" w:eastAsia="Times New Roman" w:hAnsi="Times New Roman"/>
          <w:sz w:val="20"/>
          <w:szCs w:val="20"/>
          <w:color w:val="auto"/>
        </w:rPr>
      </w:pPr>
    </w:p>
    <w:p>
      <w:pPr>
        <w:ind w:left="720" w:right="8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rates for FSRUs and LNG carriers may fluctuate substantially. If rates are lower when we are seeking a new charter, our earnings may decline;</w:t>
      </w:r>
    </w:p>
    <w:p>
      <w:pPr>
        <w:ind w:left="720" w:right="10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of our vessels is dependent on our ability to deploy our vessels to an NFE terminal or to long-term charters;</w:t>
      </w:r>
    </w:p>
    <w:p>
      <w:pPr>
        <w:ind w:left="720" w:right="240" w:hanging="370"/>
        <w:spacing w:after="0" w:line="250"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seek to develop innovative and new technologies as part of our strategy that are not yet proven and may not realize the time and cost savings we expect to achieve;</w:t>
      </w: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 may impair the economic attractiveness of our projects;</w:t>
      </w:r>
    </w:p>
    <w:p>
      <w:pPr>
        <w:spacing w:after="0" w:line="10" w:lineRule="exact"/>
        <w:rPr>
          <w:rFonts w:ascii="Times New Roman" w:cs="Times New Roman" w:eastAsia="Times New Roman" w:hAnsi="Times New Roman"/>
          <w:sz w:val="20"/>
          <w:szCs w:val="20"/>
          <w:color w:val="auto"/>
        </w:rPr>
      </w:pPr>
    </w:p>
    <w:p>
      <w:pPr>
        <w:ind w:left="680" w:hanging="330"/>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Fast LNG technology is not yet proven and we may not be able to implement it as planned or at all;</w:t>
      </w:r>
    </w:p>
    <w:p>
      <w:pPr>
        <w:spacing w:after="0" w:line="10" w:lineRule="exact"/>
        <w:rPr>
          <w:rFonts w:ascii="Times New Roman" w:cs="Times New Roman" w:eastAsia="Times New Roman" w:hAnsi="Times New Roman"/>
          <w:sz w:val="20"/>
          <w:szCs w:val="20"/>
          <w:color w:val="auto"/>
        </w:rPr>
      </w:pPr>
    </w:p>
    <w:p>
      <w:pPr>
        <w:ind w:left="680" w:hanging="330"/>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data center infrastructure business has no operating history, and it may not be profitable;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and may in the future incur, a significant amount of debt;</w:t>
      </w:r>
    </w:p>
    <w:p>
      <w:pPr>
        <w:spacing w:after="0" w:line="10" w:lineRule="exact"/>
        <w:rPr>
          <w:rFonts w:ascii="Times New Roman" w:cs="Times New Roman" w:eastAsia="Times New Roman" w:hAnsi="Times New Roman"/>
          <w:sz w:val="20"/>
          <w:szCs w:val="20"/>
          <w:color w:val="auto"/>
        </w:rPr>
      </w:pPr>
    </w:p>
    <w:p>
      <w:pPr>
        <w:ind w:left="720" w:right="100" w:hanging="370"/>
        <w:spacing w:after="0" w:line="250" w:lineRule="auto"/>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dependent upon obtaining substantial additional funding from various sources, which may not be available or may only be available on unfavorable terms;</w:t>
      </w:r>
    </w:p>
    <w:p>
      <w:pPr>
        <w:ind w:left="7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 w:lineRule="exact"/>
        <w:rPr>
          <w:rFonts w:ascii="Times New Roman" w:cs="Times New Roman" w:eastAsia="Times New Roman" w:hAnsi="Times New Roman"/>
          <w:sz w:val="20"/>
          <w:szCs w:val="20"/>
          <w:color w:val="auto"/>
        </w:rPr>
      </w:pPr>
    </w:p>
    <w:p>
      <w:pPr>
        <w:ind w:left="720" w:right="24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numerous governmental export laws, and trade and economic sanctions laws and regulations, and anti-corruption laws and regulation;</w:t>
      </w: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impairments to long-lived assets;</w:t>
      </w:r>
    </w:p>
    <w:p>
      <w:pPr>
        <w:spacing w:after="0" w:line="10" w:lineRule="exact"/>
        <w:rPr>
          <w:rFonts w:ascii="Times New Roman" w:cs="Times New Roman" w:eastAsia="Times New Roman" w:hAnsi="Times New Roman"/>
          <w:sz w:val="20"/>
          <w:szCs w:val="20"/>
          <w:color w:val="auto"/>
        </w:rPr>
      </w:pPr>
    </w:p>
    <w:p>
      <w:pPr>
        <w:ind w:left="720" w:right="120" w:hanging="370"/>
        <w:spacing w:after="0" w:line="250" w:lineRule="auto"/>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transportation regulations may increase our costs and negatively impact our results of operations;</w:t>
      </w:r>
    </w:p>
    <w:p>
      <w:pPr>
        <w:spacing w:after="0" w:line="10" w:lineRule="exact"/>
        <w:rPr>
          <w:rFonts w:ascii="Times New Roman" w:cs="Times New Roman" w:eastAsia="Times New Roman" w:hAnsi="Times New Roman"/>
          <w:sz w:val="20"/>
          <w:szCs w:val="20"/>
          <w:color w:val="auto"/>
        </w:rPr>
      </w:pPr>
    </w:p>
    <w:p>
      <w:pPr>
        <w:ind w:left="720" w:right="1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chartered vessels operating in certain jurisdictions, including the United States, now or in the future, may be subject to cabotage laws, including the Merchant Marine Act of 1920, as amended (the “Jones Act”);</w:t>
      </w: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technology failures and cyberattacks could affect us significantly;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insurance may be insufficient to cover losses that may occur to our property or result from our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depends on key members of our management;</w:t>
      </w:r>
    </w:p>
    <w:p>
      <w:pPr>
        <w:sectPr>
          <w:pgSz w:w="12240" w:h="15840" w:orient="portrait"/>
          <w:cols w:equalWidth="0" w:num="1">
            <w:col w:w="9840"/>
          </w:cols>
          <w:pgMar w:left="1180" w:top="218" w:right="1220" w:bottom="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ectPr>
          <w:pgSz w:w="12240" w:h="15840" w:orient="portrait"/>
          <w:cols w:equalWidth="0" w:num="1">
            <w:col w:w="9840"/>
          </w:cols>
          <w:pgMar w:left="1180" w:top="218" w:right="122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right="240" w:hanging="370"/>
        <w:spacing w:after="0" w:line="257"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affected adversely by labor disputes, strikes or work stoppages;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the Jurisdictions in Which We Operate</w:t>
      </w:r>
    </w:p>
    <w:p>
      <w:pPr>
        <w:spacing w:after="0" w:line="286"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economic, political, social and other conditions in the jurisdictions in which we operate;</w:t>
      </w:r>
    </w:p>
    <w:p>
      <w:pPr>
        <w:spacing w:after="0" w:line="3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operating results may be adversely affected by foreign exchange fluctuations;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Ownership of Our Class A Common Stock</w:t>
      </w:r>
    </w:p>
    <w:p>
      <w:pPr>
        <w:spacing w:after="0" w:line="286" w:lineRule="exact"/>
        <w:rPr>
          <w:sz w:val="20"/>
          <w:szCs w:val="20"/>
          <w:color w:val="auto"/>
        </w:rPr>
      </w:pPr>
    </w:p>
    <w:p>
      <w:pPr>
        <w:ind w:left="720" w:right="240" w:hanging="370"/>
        <w:spacing w:after="0" w:line="26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and trading volume of our Class A common stock may be volatile, which could result in rapid and substantial losses for our stockholders;</w:t>
      </w:r>
    </w:p>
    <w:p>
      <w:pPr>
        <w:spacing w:after="0" w:line="1" w:lineRule="exact"/>
        <w:rPr>
          <w:rFonts w:ascii="Times New Roman" w:cs="Times New Roman" w:eastAsia="Times New Roman" w:hAnsi="Times New Roman"/>
          <w:sz w:val="20"/>
          <w:szCs w:val="20"/>
          <w:color w:val="auto"/>
        </w:rPr>
      </w:pPr>
    </w:p>
    <w:p>
      <w:pPr>
        <w:ind w:left="720" w:right="100" w:hanging="37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small number of our original investors have the ability to direct a significant amount of our common stock, and their interests may conflict with those of our other stockholders;</w:t>
      </w:r>
    </w:p>
    <w:p>
      <w:pPr>
        <w:ind w:left="720" w:right="480" w:hanging="37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to holders of our Class A common stock is at the discretion of our board of directors and we do not expect to pay dividends for the foreseeable future;</w:t>
      </w:r>
    </w:p>
    <w:p>
      <w:pPr>
        <w:ind w:left="720" w:right="180" w:hanging="370"/>
        <w:spacing w:after="0" w:line="263" w:lineRule="auto"/>
        <w:tabs>
          <w:tab w:leader="none" w:pos="7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 w:lineRule="exact"/>
        <w:rPr>
          <w:rFonts w:ascii="Times New Roman" w:cs="Times New Roman" w:eastAsia="Times New Roman" w:hAnsi="Times New Roman"/>
          <w:sz w:val="19"/>
          <w:szCs w:val="19"/>
          <w:color w:val="auto"/>
        </w:rPr>
      </w:pPr>
    </w:p>
    <w:p>
      <w:pPr>
        <w:ind w:left="720" w:right="180" w:hanging="370"/>
        <w:spacing w:after="0" w:line="26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issuances of our Class A common stock could adversely affect the market price of our Class A 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 Risks</w:t>
      </w:r>
    </w:p>
    <w:p>
      <w:pPr>
        <w:spacing w:after="0" w:line="286" w:lineRule="exact"/>
        <w:rPr>
          <w:sz w:val="20"/>
          <w:szCs w:val="20"/>
          <w:color w:val="auto"/>
        </w:rPr>
      </w:pPr>
    </w:p>
    <w:p>
      <w:pPr>
        <w:ind w:left="720" w:right="200" w:hanging="370"/>
        <w:spacing w:after="0" w:line="25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holding company and our operational and consolidated financial results are dependent on the results of our subsidiaries, affiliates, joint ventures and special purpose entities in which we invest</w:t>
      </w:r>
      <w:r>
        <w:rPr>
          <w:rFonts w:ascii="Times New Roman" w:cs="Times New Roman" w:eastAsia="Times New Roman" w:hAnsi="Times New Roman"/>
          <w:sz w:val="24"/>
          <w:szCs w:val="24"/>
          <w:color w:val="auto"/>
        </w:rPr>
        <w:t>;</w:t>
      </w:r>
    </w:p>
    <w:p>
      <w:pPr>
        <w:ind w:left="720" w:right="580" w:hanging="370"/>
        <w:spacing w:after="0" w:line="253"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engage in mergers, sales and acquisitions, reorganizations or similar transactions related to our businesses or assets in the future and we may fail to successfully complete such transaction or to realize the expected value;</w:t>
      </w: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tax laws in any country in which we operate could adversely affect us;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been and may be involved in legal proceedings and may experience unfavorable outcomes.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8"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continue as a going concern is dependent upon our ability to complete certain transactions and delay capital expenditures</w:t>
      </w:r>
    </w:p>
    <w:p>
      <w:pPr>
        <w:spacing w:after="0" w:line="225"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auto"/>
        </w:rPr>
        <w:t>As discussed in note 2 to the financial statements, under ASC 205-40, when first assessing whether substantial doubt is raised about the entity’s ability to continue as a going concern, management cannot consider the potential mitigating effects of its plans that have not been fully implemented at the assessment date. Management has concluded that the Company’s current liquidity and forecasted cash flows (which exclude the effect of the Transactions as defined below), from operations are not sufficient to support, in full, obligations as they become due. Management has approved a plan to support its liquidity position by: (i) delaying certain discretionary payments, including planned capital expenditures and dividends, that are within management’s control, and (ii) continuously renewing the LNG cargo financing facility over the succeeding twelve months. Management’s plan also includes the availability of a backstop agreement that was executed in March 2025 and provides up to $100 million of availability. Management concluded that such plans are probable of being implemented and the Company will have sufficient liquidity to meet its obligations as they become due over the next twelve months from the date that the consolidated financial statements were issued. In addition to management’s plan outlined above, the Company continues to explore asset sales, settlement of claims and other strategic transactions (collectively, the “Transactions”) that seek to optimize the value of the Company’s portfolio while providing additional liquidity and cash flow to the Company. However, there are inherent uncertainties, as the execution of the Transactions are outside of management’s control and therefore there are no assurances that these transactions will be executed. Furthermore, there are inherent risks with the Company’s ability to continue to implement plans in future periods that will support its liquidity position, such as its ability to further extend the terms of vendor payments and other obligations.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2240" w:h="15840" w:orient="portrait"/>
          <w:cols w:equalWidth="0" w:num="1">
            <w:col w:w="9880"/>
          </w:cols>
          <w:pgMar w:left="1180" w:top="218" w:right="11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implement our business strategy may be materially and adversely affected by many known and unknown factors.</w:t>
      </w:r>
    </w:p>
    <w:p>
      <w:pPr>
        <w:spacing w:after="0" w:line="17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spacing w:after="0" w:line="208" w:lineRule="exact"/>
        <w:rPr>
          <w:sz w:val="20"/>
          <w:szCs w:val="20"/>
          <w:color w:val="auto"/>
        </w:rPr>
      </w:pPr>
    </w:p>
    <w:p>
      <w:pPr>
        <w:ind w:left="720" w:right="240" w:hanging="370"/>
        <w:spacing w:after="0" w:line="28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achieve our target costs for the purchase, liquefaction and export of natural gas and/or LNG and our target pricing for long-term contracts;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develop strategic relationships;</w:t>
      </w:r>
    </w:p>
    <w:p>
      <w:pPr>
        <w:spacing w:after="0" w:line="250" w:lineRule="exact"/>
        <w:rPr>
          <w:rFonts w:ascii="Times New Roman" w:cs="Times New Roman" w:eastAsia="Times New Roman" w:hAnsi="Times New Roman"/>
          <w:sz w:val="20"/>
          <w:szCs w:val="20"/>
          <w:color w:val="auto"/>
        </w:rPr>
      </w:pPr>
    </w:p>
    <w:p>
      <w:pPr>
        <w:ind w:left="720" w:right="540" w:hanging="370"/>
        <w:spacing w:after="0" w:line="28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required governmental and regulatory approvals for the construction and operation of these projects and other relevant approvals;</w:t>
      </w:r>
    </w:p>
    <w:p>
      <w:pPr>
        <w:spacing w:after="0" w:line="181" w:lineRule="exact"/>
        <w:rPr>
          <w:rFonts w:ascii="Times New Roman" w:cs="Times New Roman" w:eastAsia="Times New Roman" w:hAnsi="Times New Roman"/>
          <w:sz w:val="20"/>
          <w:szCs w:val="20"/>
          <w:color w:val="auto"/>
        </w:rPr>
      </w:pPr>
    </w:p>
    <w:p>
      <w:pPr>
        <w:ind w:left="720" w:right="660" w:hanging="370"/>
        <w:spacing w:after="0" w:line="28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laws and regulations, changes in laws or unfavorable interpretation or application of laws and regulations; and</w:t>
      </w:r>
    </w:p>
    <w:p>
      <w:pPr>
        <w:spacing w:after="0" w:line="181" w:lineRule="exact"/>
        <w:rPr>
          <w:rFonts w:ascii="Times New Roman" w:cs="Times New Roman" w:eastAsia="Times New Roman" w:hAnsi="Times New Roman"/>
          <w:sz w:val="20"/>
          <w:szCs w:val="20"/>
          <w:color w:val="auto"/>
        </w:rPr>
      </w:pPr>
    </w:p>
    <w:p>
      <w:pPr>
        <w:ind w:left="720" w:right="60" w:hanging="370"/>
        <w:spacing w:after="0" w:line="28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regarding the timing, pace and extent of economic growth in the United States, the other jurisdictions in which we operate and elsewhere, which in turn will likely affect demand for crude oil and natural gas.</w:t>
      </w:r>
    </w:p>
    <w:p>
      <w:pPr>
        <w:spacing w:after="0" w:line="181" w:lineRule="exact"/>
        <w:rPr>
          <w:sz w:val="20"/>
          <w:szCs w:val="20"/>
          <w:color w:val="auto"/>
        </w:rPr>
      </w:pPr>
    </w:p>
    <w:p>
      <w:pPr>
        <w:jc w:val="both"/>
        <w:ind w:right="60" w:firstLine="360"/>
        <w:spacing w:after="0" w:line="260" w:lineRule="auto"/>
        <w:rPr>
          <w:sz w:val="20"/>
          <w:szCs w:val="20"/>
          <w:color w:val="auto"/>
        </w:rPr>
      </w:pPr>
      <w:r>
        <w:rPr>
          <w:rFonts w:ascii="Times New Roman" w:cs="Times New Roman" w:eastAsia="Times New Roman" w:hAnsi="Times New Roman"/>
          <w:sz w:val="20"/>
          <w:szCs w:val="20"/>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203" w:lineRule="exact"/>
        <w:rPr>
          <w:sz w:val="20"/>
          <w:szCs w:val="20"/>
          <w:color w:val="auto"/>
        </w:rPr>
      </w:pPr>
    </w:p>
    <w:p>
      <w:pPr>
        <w:ind w:right="420" w:firstLine="360"/>
        <w:spacing w:after="0" w:line="260" w:lineRule="auto"/>
        <w:rPr>
          <w:sz w:val="20"/>
          <w:szCs w:val="20"/>
          <w:color w:val="auto"/>
        </w:rPr>
      </w:pPr>
      <w:r>
        <w:rPr>
          <w:rFonts w:ascii="Times New Roman" w:cs="Times New Roman" w:eastAsia="Times New Roman" w:hAnsi="Times New Roman"/>
          <w:sz w:val="20"/>
          <w:szCs w:val="20"/>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construction risks.</w:t>
      </w:r>
    </w:p>
    <w:p>
      <w:pPr>
        <w:spacing w:after="0" w:line="259" w:lineRule="exact"/>
        <w:rPr>
          <w:sz w:val="20"/>
          <w:szCs w:val="20"/>
          <w:color w:val="auto"/>
        </w:rPr>
      </w:pPr>
    </w:p>
    <w:p>
      <w:pPr>
        <w:ind w:right="20" w:firstLine="360"/>
        <w:spacing w:after="0" w:line="272" w:lineRule="auto"/>
        <w:rPr>
          <w:sz w:val="20"/>
          <w:szCs w:val="20"/>
          <w:color w:val="auto"/>
        </w:rPr>
      </w:pPr>
      <w:r>
        <w:rPr>
          <w:rFonts w:ascii="Times New Roman" w:cs="Times New Roman" w:eastAsia="Times New Roman" w:hAnsi="Times New Roman"/>
          <w:sz w:val="19"/>
          <w:szCs w:val="19"/>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94" w:lineRule="exact"/>
        <w:rPr>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engineering, environmental or geological problems;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shortages or delays in the delivery of equipment and supplies;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or regulatory approvals, permits or other authorizations;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technical specifications or adjustments being required based on testing or commissioning;</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commissioning or operating accidents that could result in personal injury or loss of life;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and qualified personnel to execute the project;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interference;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labor shortages, work stoppages or labor union disputes.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2240" w:h="15840" w:orient="portrait"/>
          <w:cols w:equalWidth="0" w:num="1">
            <w:col w:w="9860"/>
          </w:cols>
          <w:pgMar w:left="1180" w:top="218" w:right="120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pacing w:after="0" w:line="219"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including most recently with our First LNG project in Altamira, Mexico, and no assurance can be given that we will not continue to experience in the future similar events, any of which could have a material adverse effect on our business, operating results, cash flows and liquidity.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 of our infrastructure, facilities and vessels involves significant risks.</w:t>
      </w:r>
    </w:p>
    <w:p>
      <w:pPr>
        <w:spacing w:after="0" w:line="259"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Our existing infrastructure, facilities and vessels and expected future operations and businesses face operational risks, including, but not limited to, the following:</w:t>
      </w:r>
    </w:p>
    <w:p>
      <w:pPr>
        <w:spacing w:after="0" w:line="181" w:lineRule="exact"/>
        <w:rPr>
          <w:sz w:val="20"/>
          <w:szCs w:val="20"/>
          <w:color w:val="auto"/>
        </w:rPr>
      </w:pPr>
    </w:p>
    <w:p>
      <w:pPr>
        <w:ind w:left="720" w:right="34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below expected levels of efficiency or capacity or required changes to specifications for continued operations;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breakdowns or failures of equipment or shortages or delays in the delivery of supplies;</w:t>
      </w:r>
    </w:p>
    <w:p>
      <w:pPr>
        <w:spacing w:after="0" w:line="250" w:lineRule="exact"/>
        <w:rPr>
          <w:rFonts w:ascii="Times New Roman" w:cs="Times New Roman" w:eastAsia="Times New Roman" w:hAnsi="Times New Roman"/>
          <w:sz w:val="20"/>
          <w:szCs w:val="20"/>
          <w:color w:val="auto"/>
        </w:rPr>
      </w:pPr>
    </w:p>
    <w:p>
      <w:pPr>
        <w:ind w:left="720" w:right="62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errors by trucks, including trucking accidents while transporting natural gas, LNG or any other chemical or hazardous substance;</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operators and service providers of tankers or tugs used in our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errors by us or any contracted facility, port or other operator of related third-party infrastructure;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the required government or regulatory approvals, permits or other authorizations;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fires, explosions or other events or catastrophes;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and qualified personnel;</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labor shortages, work stoppages or labor union disputes;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weather-related or natural disaster interruptions of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pollution, release of or exposure to toxic substances or environmental contamination affecting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or failure, of any counterparty to any facility-related agreements to perform their contractual obligations;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2240" w:h="15840" w:orient="portrait"/>
          <w:cols w:equalWidth="0" w:num="1">
            <w:col w:w="9860"/>
          </w:cols>
          <w:pgMar w:left="1180" w:top="218" w:right="120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by our customers;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unplanned power outages or failures to supply due to scheduled or unscheduled maintenance.</w:t>
      </w:r>
    </w:p>
    <w:p>
      <w:pPr>
        <w:spacing w:after="0" w:line="250" w:lineRule="exact"/>
        <w:rPr>
          <w:sz w:val="20"/>
          <w:szCs w:val="20"/>
          <w:color w:val="auto"/>
        </w:rPr>
      </w:pPr>
    </w:p>
    <w:p>
      <w:pPr>
        <w:ind w:right="40" w:firstLine="360"/>
        <w:spacing w:after="0" w:line="251" w:lineRule="auto"/>
        <w:rPr>
          <w:sz w:val="20"/>
          <w:szCs w:val="20"/>
          <w:color w:val="auto"/>
        </w:rPr>
      </w:pPr>
      <w:r>
        <w:rPr>
          <w:rFonts w:ascii="Times New Roman" w:cs="Times New Roman" w:eastAsia="Times New Roman" w:hAnsi="Times New Roman"/>
          <w:sz w:val="20"/>
          <w:szCs w:val="20"/>
          <w:color w:val="auto"/>
        </w:rPr>
        <w:t>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229" w:lineRule="exact"/>
        <w:rPr>
          <w:sz w:val="20"/>
          <w:szCs w:val="20"/>
          <w:color w:val="auto"/>
        </w:rPr>
      </w:pPr>
    </w:p>
    <w:p>
      <w:pPr>
        <w:jc w:val="both"/>
        <w:ind w:right="400" w:firstLine="360"/>
        <w:spacing w:after="0" w:line="266" w:lineRule="auto"/>
        <w:rPr>
          <w:sz w:val="20"/>
          <w:szCs w:val="20"/>
          <w:color w:val="auto"/>
        </w:rPr>
      </w:pPr>
      <w:r>
        <w:rPr>
          <w:rFonts w:ascii="Times New Roman" w:cs="Times New Roman" w:eastAsia="Times New Roman" w:hAnsi="Times New Roman"/>
          <w:sz w:val="20"/>
          <w:szCs w:val="20"/>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third-party contractors, operators and suppliers.</w:t>
      </w:r>
    </w:p>
    <w:p>
      <w:pPr>
        <w:spacing w:after="0" w:line="259"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2240" w:h="15840" w:orient="portrait"/>
          <w:cols w:equalWidth="0" w:num="1">
            <w:col w:w="9860"/>
          </w:cols>
          <w:pgMar w:left="1180" w:top="218" w:right="12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performance expectations, or if we experience delays or cost overruns in design, construction, commissioning or operation, our business, operating results, cash flows and liquidity could be materially and adversely affected.</w:t>
      </w:r>
    </w:p>
    <w:p>
      <w:pPr>
        <w:spacing w:after="0" w:line="172"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of LNG to be a competitive source of energy in the markets in which we operate, and seek to operate, could adversely affect our expansion strategy.</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Russia’s invasion of Ukraine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213"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204" w:lineRule="exact"/>
        <w:rPr>
          <w:sz w:val="20"/>
          <w:szCs w:val="20"/>
          <w:color w:val="auto"/>
        </w:rPr>
      </w:pPr>
    </w:p>
    <w:p>
      <w:pPr>
        <w:ind w:right="1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regulated environment and our operations could be adversely affected by actions by governmental entities or changes to regulations and legislation.</w:t>
      </w:r>
    </w:p>
    <w:p>
      <w:pPr>
        <w:spacing w:after="0" w:line="177"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211"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9"/>
          <w:szCs w:val="19"/>
          <w:color w:val="auto"/>
        </w:rPr>
        <w:t>In addition, these rules and regulations are assessed, managed, administered and enforced by various governmental agencies and bodies, whose actions and decisions could adversely affect our business or operations. 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2240" w:h="15840" w:orient="portrait"/>
          <w:cols w:equalWidth="0" w:num="1">
            <w:col w:w="9880"/>
          </w:cols>
          <w:pgMar w:left="1180" w:top="218" w:right="11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auto"/>
        </w:rPr>
        <w:t>from the DOE and other federal and state regulatory agencies also contain ongoing conditions, and additional requirements may be imposed. On July 1, 2024, the Western District of Louisiana stayed the pause in its entirety, The Biden Administration appealed the ruling in August 2024 and litigation remains ongoing. On December 17, 2024, the DOE publicly released a multi-volume study of its view of the potential effects of U.S. LNG exports on the domestic economy; U.S. households and consumers; communities that live near locations where natural gas is produced or exported; domestic and international energy security, including effects of U.S. trading partners; and the environment and climate. The DOE stated that it intends to use this study to inform its public interest review of and future decisions regarding exports to non-FTA nations. The study is subject to a sixty-day public comment period and the finalization of the study and any application of it in future decision-making will be determined by the new presidential administration. Although President Trump oppose the DOE pause on export authorizations and advocated prompt of new authorizations during his presidential campaign, we expect that most DOE long-term, non-FTA authorizations will continue to experience delays. While the Trump Administration is widely expected to support LNG exports, there can be no assurance as to its views of the recently released DOE study or its future policies, or the impact of those policies on our existing and future projects.</w:t>
      </w:r>
    </w:p>
    <w:p>
      <w:pPr>
        <w:spacing w:after="0" w:line="200"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order to comply with the FERC’s directive, on September 15, 2021, we filed an application for authorization to operate the San Juan Facility, which remains pending.</w:t>
      </w:r>
    </w:p>
    <w:p>
      <w:pPr>
        <w:spacing w:after="0" w:line="216"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95"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77"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9"/>
          <w:szCs w:val="19"/>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Jurisdiction-specific employment, labor, and subcontracting laws may also affect contracting strategies and impact construction and operations.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ectPr>
          <w:pgSz w:w="12240" w:h="15840" w:orient="portrait"/>
          <w:cols w:equalWidth="0" w:num="1">
            <w:col w:w="9840"/>
          </w:cols>
          <w:pgMar w:left="1180" w:top="218" w:right="122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9"/>
          <w:szCs w:val="19"/>
          <w:color w:val="auto"/>
        </w:rPr>
        <w:t>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w:t>
      </w:r>
    </w:p>
    <w:p>
      <w:pPr>
        <w:spacing w:after="0" w:line="250" w:lineRule="auto"/>
        <w:rPr>
          <w:sz w:val="20"/>
          <w:szCs w:val="20"/>
          <w:color w:val="auto"/>
        </w:rPr>
      </w:pPr>
      <w:r>
        <w:rPr>
          <w:rFonts w:ascii="Times New Roman" w:cs="Times New Roman" w:eastAsia="Times New Roman" w:hAnsi="Times New Roman"/>
          <w:sz w:val="20"/>
          <w:szCs w:val="20"/>
          <w:color w:val="auto"/>
        </w:rPr>
        <w:t>Following review of NFE's response to the December 2022 data requests, MARAD extended the stop-clock on February 21, 2023 pending clarification of responses and receipt of additional information. In addition, jurisdiction-specific employment, labor, and subcontracting laws may also affect contracting strategies and impact construction and operations. No assurance can be given that we will be able to obtain approval of all applications or receive the required permits, approvals and authorizations from governmental and regulatory agencies related to our projects with favorable terms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to our permits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In addition, our LNG transportation activities are subject to broad array of regulations, and our operations are dependent upon obtaining and maintaining required permits and authorizations,. For example, the United States Coast Guard ("USCG") regulates the navigable waterways through which vessels we own, lease or direct must traverse to supply LNG in Puerto Rico. Our business in Puerto Rico must comply with all applicable Coast Guard regulations. If we are incorrect in our interpretation of applicable requirements, of if there is a change in the interpretation or application of those requirements, the Coast Guard could determine that we have not compiled with applicable requirements, which could lead to fines or restrictions on our operations. For example, on September 26, 2024, we received a letter from the Coast Guard alleging that some aspects of our vessel operations may not comply with all applicable requirements. On October 21, 2024, we filed an appeal with USCG under 33 CFR 160.7. However, in December 2024 and February 2025, we submitted an updated Letter of Intent and Waterway Suitability Assessments detailing our alternative operational plans to the USCG and are working collaboratively with the USCG to obtain a new Letter of Recommendation to FERC in support of our operations, which we expect to be imminently forthcoming. In concert with our collaboration with the USCG regarding our new operational plans, we withdrew our appeal on February 14, 2025.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225"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96"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We intend to employ a similar strategy for our Klondike business.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2240" w:h="15840" w:orient="portrait"/>
          <w:cols w:equalWidth="0" w:num="1">
            <w:col w:w="9880"/>
          </w:cols>
          <w:pgMar w:left="1180" w:top="218" w:right="11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sufficient working capital could limit our growth and harm our business, financial condition and results of operations.</w:t>
      </w:r>
    </w:p>
    <w:p>
      <w:pPr>
        <w:spacing w:after="0" w:line="17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00"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generate revenues is substantially dependent on our current and future long-term agreements and the performance by customers under such agreements.</w:t>
      </w:r>
    </w:p>
    <w:p>
      <w:pPr>
        <w:spacing w:after="0" w:line="17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For example,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203"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77" w:lineRule="exact"/>
        <w:rPr>
          <w:sz w:val="20"/>
          <w:szCs w:val="20"/>
          <w:color w:val="auto"/>
        </w:rPr>
      </w:pPr>
    </w:p>
    <w:p>
      <w:pPr>
        <w:ind w:right="60" w:firstLine="360"/>
        <w:spacing w:after="0" w:line="271" w:lineRule="auto"/>
        <w:rPr>
          <w:sz w:val="20"/>
          <w:szCs w:val="20"/>
          <w:color w:val="auto"/>
        </w:rPr>
      </w:pPr>
      <w:r>
        <w:rPr>
          <w:rFonts w:ascii="Times New Roman" w:cs="Times New Roman" w:eastAsia="Times New Roman" w:hAnsi="Times New Roman"/>
          <w:sz w:val="19"/>
          <w:szCs w:val="19"/>
          <w:color w:val="auto"/>
        </w:rPr>
        <w:t>Our results of operations for the year ended December 31, 2024, include our Montego Bay Facility, Old Harbour Facility, San Juan Facility and certain industrial end-users. In addition, we placed a portion of our La Paz Facility into service in the fourth quarter of 2021, and our revenue and results of operations have begun to be impacted by operations in Mexico, including agreements with certain power generation facilities in Baja California Sur. Our results in 2024 exclude 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2240" w:h="15840" w:orient="portrait"/>
          <w:cols w:equalWidth="0" w:num="1">
            <w:col w:w="9880"/>
          </w:cols>
          <w:pgMar w:left="1180" w:top="218" w:right="11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 w:cs="Times New Roman" w:eastAsia="Times New Roman" w:hAnsi="Times New Roman"/>
          <w:sz w:val="20"/>
          <w:szCs w:val="20"/>
          <w:b w:val="1"/>
          <w:bCs w:val="1"/>
          <w:i w:val="1"/>
          <w:iCs w:val="1"/>
          <w:color w:val="auto"/>
        </w:rPr>
        <w:t>Risks Related to the Jurisdictions in Which We Operate—We are subject to the economic, political, social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other conditions in the jurisdictions in which we operate.</w:t>
      </w:r>
      <w:r>
        <w:rPr>
          <w:rFonts w:ascii="Times New Roman" w:cs="Times New Roman" w:eastAsia="Times New Roman" w:hAnsi="Times New Roman"/>
          <w:sz w:val="20"/>
          <w:szCs w:val="20"/>
          <w:color w:val="auto"/>
        </w:rPr>
        <w:t>” We may also be affected by trade restrictions, such as tariffs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other trade controls. 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199"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Because we are currently dependent upon a limited number of customers, the loss of a significant customer could adversely affect our operating results.</w:t>
      </w:r>
    </w:p>
    <w:p>
      <w:pPr>
        <w:spacing w:after="0" w:line="177"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Our current results of operations and liquidity are, and will continue to be in the near future, substantially dependent upon a limited number of customers, including JPS, SJPC, CFE and PREPA, which have each entered into long-term GSAs and, in the case of JPS, a PPA in relation to the power produced at the CHP Plant, with us, and Jamalco,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or the early termination of any of these contracts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20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77" w:lineRule="exact"/>
        <w:rPr>
          <w:sz w:val="20"/>
          <w:szCs w:val="20"/>
          <w:color w:val="auto"/>
        </w:rPr>
      </w:pPr>
    </w:p>
    <w:p>
      <w:pPr>
        <w:ind w:right="80" w:firstLine="360"/>
        <w:spacing w:after="0" w:line="251" w:lineRule="auto"/>
        <w:rPr>
          <w:sz w:val="20"/>
          <w:szCs w:val="20"/>
          <w:color w:val="auto"/>
        </w:rPr>
      </w:pPr>
      <w:r>
        <w:rPr>
          <w:rFonts w:ascii="Times New Roman" w:cs="Times New Roman" w:eastAsia="Times New Roman" w:hAnsi="Times New Roman"/>
          <w:sz w:val="20"/>
          <w:szCs w:val="20"/>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2240" w:h="15840" w:orient="portrait"/>
          <w:cols w:equalWidth="0" w:num="1">
            <w:col w:w="9860"/>
          </w:cols>
          <w:pgMar w:left="1180" w:top="218" w:right="120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contracts with our customers are subject to termination under certain circumstances.</w:t>
      </w:r>
    </w:p>
    <w:p>
      <w:pPr>
        <w:spacing w:after="0" w:line="25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95" w:lineRule="exact"/>
        <w:rPr>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events of force majeure;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make available specified scheduled cargo quantities;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uncured payment defaults;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 insolvency event;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uncured, material breaches; and</w:t>
      </w:r>
    </w:p>
    <w:p>
      <w:pPr>
        <w:spacing w:after="0" w:line="250" w:lineRule="exact"/>
        <w:rPr>
          <w:sz w:val="20"/>
          <w:szCs w:val="20"/>
          <w:color w:val="auto"/>
        </w:rPr>
      </w:pPr>
    </w:p>
    <w:p>
      <w:pPr>
        <w:jc w:val="both"/>
        <w:ind w:right="140" w:firstLine="360"/>
        <w:spacing w:after="0" w:line="258" w:lineRule="auto"/>
        <w:rPr>
          <w:sz w:val="20"/>
          <w:szCs w:val="20"/>
          <w:color w:val="auto"/>
        </w:rPr>
      </w:pPr>
      <w:r>
        <w:rPr>
          <w:rFonts w:ascii="Times New Roman" w:cs="Times New Roman" w:eastAsia="Times New Roman" w:hAnsi="Times New Roman"/>
          <w:sz w:val="20"/>
          <w:szCs w:val="20"/>
          <w:color w:val="auto"/>
        </w:rPr>
        <w:t>In addition, we have short-term customer contracts with renewal rights which the customer may choose not to renew. 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95"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Competition in the LNG industry is intense, and some of our competitors have greater financial, technological and other resources than we currently possess.</w:t>
      </w:r>
    </w:p>
    <w:p>
      <w:pPr>
        <w:spacing w:after="0" w:line="177"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20"/>
          <w:szCs w:val="20"/>
          <w:color w:val="auto"/>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spacing w:after="0" w:line="208" w:lineRule="exact"/>
        <w:rPr>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worldwide LNG production capacity and availability of LNG for market supply;</w:t>
      </w:r>
    </w:p>
    <w:p>
      <w:pPr>
        <w:spacing w:after="0" w:line="250"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demand for natural gas but at levels below those required to maintain current price equilibrium with respect to supply;</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to supply natural gas feedstock to our liquefaction projects;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to supply LNG feedstock to our facilities;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cost of competing sources of natural gas, LNG or alternate fuels such as coal, HFO and ADO;</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price of LNG; and</w:t>
      </w:r>
    </w:p>
    <w:p>
      <w:pPr>
        <w:spacing w:after="0" w:line="250" w:lineRule="exact"/>
        <w:rPr>
          <w:rFonts w:ascii="Times New Roman" w:cs="Times New Roman" w:eastAsia="Times New Roman" w:hAnsi="Times New Roman"/>
          <w:sz w:val="20"/>
          <w:szCs w:val="20"/>
          <w:color w:val="auto"/>
        </w:rPr>
      </w:pPr>
    </w:p>
    <w:p>
      <w:pPr>
        <w:jc w:val="both"/>
        <w:ind w:left="720" w:right="14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displacement of LNG or fossil fuels more broadly by alternate fuels or energy sources or technologies (including but not limited to nuclear, wind, hydrogen,solar, biofuels and batteries) in locations where access to these energy sources is not currently available or prevalent.</w:t>
      </w:r>
    </w:p>
    <w:p>
      <w:pPr>
        <w:spacing w:after="0" w:line="19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2240" w:h="15840" w:orient="portrait"/>
          <w:cols w:equalWidth="0" w:num="1">
            <w:col w:w="9880"/>
          </w:cols>
          <w:pgMar w:left="1180" w:top="218" w:right="11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200"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Cyclical or other changes in the demand for and price of LNG and natural gas may adversely affect our business and the performance of our customers.</w:t>
      </w:r>
    </w:p>
    <w:p>
      <w:pPr>
        <w:spacing w:after="0" w:line="177" w:lineRule="exact"/>
        <w:rPr>
          <w:sz w:val="20"/>
          <w:szCs w:val="20"/>
          <w:color w:val="auto"/>
        </w:rPr>
      </w:pPr>
    </w:p>
    <w:p>
      <w:pPr>
        <w:ind w:right="400" w:firstLine="360"/>
        <w:spacing w:after="0" w:line="260" w:lineRule="auto"/>
        <w:rPr>
          <w:sz w:val="20"/>
          <w:szCs w:val="20"/>
          <w:color w:val="auto"/>
        </w:rPr>
      </w:pPr>
      <w:r>
        <w:rPr>
          <w:rFonts w:ascii="Times New Roman" w:cs="Times New Roman" w:eastAsia="Times New Roman" w:hAnsi="Times New Roman"/>
          <w:sz w:val="20"/>
          <w:szCs w:val="20"/>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03" w:lineRule="exact"/>
        <w:rPr>
          <w:sz w:val="20"/>
          <w:szCs w:val="20"/>
          <w:color w:val="auto"/>
        </w:rPr>
      </w:pPr>
    </w:p>
    <w:p>
      <w:pPr>
        <w:ind w:left="720" w:right="8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to competitive regasification capacity in North America, Brazil, Europe, Asia and other markets, which could divert LNG or natural gas from our business;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tariffs by China or any other jurisdiction on imports of LNG from the United States;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or oversupply of natural gas liquefaction or export capacity worldwide;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LNG tanker capacity;</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and natural disasters;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demand and lower prices for natural gas;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natural gas production deliverable by pipelines, which could suppress demand for LNG;</w:t>
      </w:r>
    </w:p>
    <w:p>
      <w:pPr>
        <w:spacing w:after="0" w:line="25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oil and natural gas exploration activities, including shut-ins and possible proration, which may decrease the production of natural gas;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improvements that allow competitors to offer LNG regasification services at reduced prices;</w:t>
      </w:r>
    </w:p>
    <w:p>
      <w:pPr>
        <w:spacing w:after="0" w:line="250" w:lineRule="exact"/>
        <w:rPr>
          <w:rFonts w:ascii="Times New Roman" w:cs="Times New Roman" w:eastAsia="Times New Roman" w:hAnsi="Times New Roman"/>
          <w:sz w:val="20"/>
          <w:szCs w:val="20"/>
          <w:color w:val="auto"/>
        </w:rPr>
      </w:pPr>
    </w:p>
    <w:p>
      <w:pPr>
        <w:ind w:left="720" w:right="26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supplies of, and prices for, alternative energy sources, such as coal, oil, nuclear, hydroelectric, wind and solar energy, which may reduce the demand for natural gas;</w:t>
      </w:r>
    </w:p>
    <w:p>
      <w:pPr>
        <w:spacing w:after="0" w:line="181" w:lineRule="exact"/>
        <w:rPr>
          <w:rFonts w:ascii="Times New Roman" w:cs="Times New Roman" w:eastAsia="Times New Roman" w:hAnsi="Times New Roman"/>
          <w:sz w:val="20"/>
          <w:szCs w:val="20"/>
          <w:color w:val="auto"/>
        </w:rPr>
      </w:pPr>
    </w:p>
    <w:p>
      <w:pPr>
        <w:ind w:left="720" w:right="360" w:hanging="370"/>
        <w:spacing w:after="0" w:line="309" w:lineRule="auto"/>
        <w:tabs>
          <w:tab w:leader="none" w:pos="7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regulatory, tax or other governmental policies regarding imported or exported LNG, natural gas or alternative energy sources, which may reduce the demand for imported or exported LNG and/or natural gas;</w:t>
      </w:r>
    </w:p>
    <w:p>
      <w:pPr>
        <w:spacing w:after="0" w:line="157"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conditions in natural gas producing regions;</w:t>
      </w:r>
    </w:p>
    <w:p>
      <w:pPr>
        <w:spacing w:after="0" w:line="250"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relative demand for LNG compared to other markets, which may decrease LNG imports into or exports from North America; and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trends in general business and economic conditions that cause changes in the demand for natural gas.</w:t>
      </w:r>
    </w:p>
    <w:p>
      <w:pPr>
        <w:spacing w:after="0" w:line="250" w:lineRule="exact"/>
        <w:rPr>
          <w:sz w:val="20"/>
          <w:szCs w:val="20"/>
          <w:color w:val="auto"/>
        </w:rPr>
      </w:pPr>
    </w:p>
    <w:p>
      <w:pPr>
        <w:ind w:right="20" w:firstLine="360"/>
        <w:spacing w:after="0" w:line="269" w:lineRule="auto"/>
        <w:rPr>
          <w:sz w:val="20"/>
          <w:szCs w:val="20"/>
          <w:color w:val="auto"/>
        </w:rPr>
      </w:pPr>
      <w:r>
        <w:rPr>
          <w:rFonts w:ascii="Times New Roman" w:cs="Times New Roman" w:eastAsia="Times New Roman" w:hAnsi="Times New Roman"/>
          <w:sz w:val="19"/>
          <w:szCs w:val="19"/>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ectPr>
          <w:pgSz w:w="12240" w:h="15840" w:orient="portrait"/>
          <w:cols w:equalWidth="0" w:num="1">
            <w:col w:w="9840"/>
          </w:cols>
          <w:pgMar w:left="1180" w:top="218" w:right="122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0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77"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use of hedging arrangements may adversely affect our future operating results or liquidity.</w:t>
      </w:r>
    </w:p>
    <w:p>
      <w:pPr>
        <w:spacing w:after="0" w:line="25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204"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third-party LNG suppliers and the development of our own portfolio is subject to various risks and assumptions.</w:t>
      </w:r>
    </w:p>
    <w:p>
      <w:pPr>
        <w:spacing w:after="0" w:line="177"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9"/>
          <w:szCs w:val="19"/>
          <w:color w:val="auto"/>
        </w:rPr>
        <w:t>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2024 and 2047, we may need to purchase significant additional LNG volumes to meet our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2240" w:h="15840" w:orient="portrait"/>
          <w:cols w:equalWidth="0" w:num="1">
            <w:col w:w="9880"/>
          </w:cols>
          <w:pgMar w:left="1180" w:top="218" w:right="11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auto"/>
        </w:rPr>
        <w:t>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20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w:t>
      </w:r>
    </w:p>
    <w:p>
      <w:pPr>
        <w:spacing w:after="0" w:line="209"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spacing w:after="0" w:line="203"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LNG that is processed, transported and/or stored on FSRUs and transported via pipeline is subject to risk of loss or damage.</w:t>
      </w:r>
    </w:p>
    <w:p>
      <w:pPr>
        <w:spacing w:after="0" w:line="17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LNG processed, transported and stored on FSRUs may be subject to loss or damage resulting from equipment malfunction, faulty handling, cargo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rely on tankers and other vessels outside of our fleet for our LNG transportation and transfer.</w:t>
      </w:r>
    </w:p>
    <w:p>
      <w:pPr>
        <w:spacing w:after="0" w:line="25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2240" w:h="15840" w:orient="portrait"/>
          <w:cols w:equalWidth="0" w:num="1">
            <w:col w:w="9880"/>
          </w:cols>
          <w:pgMar w:left="1180" w:top="218" w:right="11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9"/>
          <w:szCs w:val="19"/>
          <w:color w:val="auto"/>
        </w:rPr>
        <w:t>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7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sanctions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20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0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Hire rates for FSRUs and LNG carriers may fluctuate substantially. If rates are lower when we are seeking a new charter, our earnings may decline.</w:t>
      </w:r>
    </w:p>
    <w:p>
      <w:pPr>
        <w:spacing w:after="0" w:line="177" w:lineRule="exact"/>
        <w:rPr>
          <w:sz w:val="20"/>
          <w:szCs w:val="20"/>
          <w:color w:val="auto"/>
        </w:rPr>
      </w:pPr>
    </w:p>
    <w:p>
      <w:pPr>
        <w:ind w:right="40" w:firstLine="360"/>
        <w:spacing w:after="0" w:line="268" w:lineRule="auto"/>
        <w:rPr>
          <w:sz w:val="20"/>
          <w:szCs w:val="20"/>
          <w:color w:val="auto"/>
        </w:rPr>
      </w:pPr>
      <w:r>
        <w:rPr>
          <w:rFonts w:ascii="Times New Roman" w:cs="Times New Roman" w:eastAsia="Times New Roman" w:hAnsi="Times New Roman"/>
          <w:sz w:val="19"/>
          <w:szCs w:val="19"/>
          <w:color w:val="auto"/>
        </w:rPr>
        <w:t>Hire rates for FSRUs and LNG carriers fluctuate over time as a result of changes in the supply-demand balance relating to the market requirements for FSRUs and LNG carries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and LNG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fully utilize the capacity of our FSRUs and other facilities.</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timing of start-up of new third party projects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spacing w:after="0" w:line="200"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operation of our vessels is dependent on our ability to deploy our vessels to an NFE terminal or to long-term charters.</w:t>
      </w:r>
    </w:p>
    <w:p>
      <w:pPr>
        <w:spacing w:after="0" w:line="177" w:lineRule="exact"/>
        <w:rPr>
          <w:sz w:val="20"/>
          <w:szCs w:val="20"/>
          <w:color w:val="auto"/>
        </w:rPr>
      </w:pPr>
    </w:p>
    <w:p>
      <w:pPr>
        <w:ind w:right="200" w:firstLine="360"/>
        <w:spacing w:after="0" w:line="270" w:lineRule="auto"/>
        <w:rPr>
          <w:sz w:val="20"/>
          <w:szCs w:val="20"/>
          <w:color w:val="auto"/>
        </w:rPr>
      </w:pPr>
      <w:r>
        <w:rPr>
          <w:rFonts w:ascii="Times New Roman" w:cs="Times New Roman" w:eastAsia="Times New Roman" w:hAnsi="Times New Roman"/>
          <w:sz w:val="19"/>
          <w:szCs w:val="19"/>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2240" w:h="15840" w:orient="portrait"/>
          <w:cols w:equalWidth="0" w:num="1">
            <w:col w:w="9880"/>
          </w:cols>
          <w:pgMar w:left="1180" w:top="218" w:right="11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the deliveries from that vessel, but we will be required to pay expenses necessary to maintain the vessel in seaworthy operating condition.</w:t>
      </w:r>
    </w:p>
    <w:p>
      <w:pPr>
        <w:spacing w:after="0" w:line="20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Vessel values may fluctuate substantially and, if these values are lower at a time when we are attempting to dispose of vessels, we may incur a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Vessel values can fluctuate substantially over time due to a number of different factors, including:</w:t>
      </w:r>
    </w:p>
    <w:p>
      <w:pPr>
        <w:spacing w:after="0" w:line="250"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prevailing economic conditions in the natural gas and energy markets;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or extended decline in demand for LNG;</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supply of vessel capacity without a commensurate increase in demand;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tank type and age of a vessel; and</w:t>
      </w:r>
    </w:p>
    <w:p>
      <w:pPr>
        <w:spacing w:after="0" w:line="250" w:lineRule="exact"/>
        <w:rPr>
          <w:rFonts w:ascii="Times New Roman" w:cs="Times New Roman" w:eastAsia="Times New Roman" w:hAnsi="Times New Roman"/>
          <w:sz w:val="20"/>
          <w:szCs w:val="20"/>
          <w:color w:val="auto"/>
        </w:rPr>
      </w:pPr>
    </w:p>
    <w:p>
      <w:pPr>
        <w:ind w:left="720" w:right="240" w:hanging="370"/>
        <w:spacing w:after="0" w:line="266"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retrofitting, steel prices or modifying existing vessels, as a result of technological advances in vessel design or equipment, changes in applicable environmental or other regulations or standards, customer requirements or otherwise.</w:t>
      </w:r>
    </w:p>
    <w:p>
      <w:pPr>
        <w:spacing w:after="0" w:line="195" w:lineRule="exact"/>
        <w:rPr>
          <w:sz w:val="20"/>
          <w:szCs w:val="20"/>
          <w:color w:val="auto"/>
        </w:rPr>
      </w:pPr>
    </w:p>
    <w:p>
      <w:pPr>
        <w:jc w:val="both"/>
        <w:ind w:right="80" w:firstLine="360"/>
        <w:spacing w:after="0" w:line="260" w:lineRule="auto"/>
        <w:rPr>
          <w:sz w:val="20"/>
          <w:szCs w:val="20"/>
          <w:color w:val="auto"/>
        </w:rPr>
      </w:pPr>
      <w:r>
        <w:rPr>
          <w:rFonts w:ascii="Times New Roman" w:cs="Times New Roman" w:eastAsia="Times New Roman" w:hAnsi="Times New Roman"/>
          <w:sz w:val="20"/>
          <w:szCs w:val="20"/>
          <w:color w:val="auto"/>
        </w:rPr>
        <w:t>As our owned or chartered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could be significant and subject to market pricing.</w:t>
      </w:r>
    </w:p>
    <w:p>
      <w:pPr>
        <w:spacing w:after="0" w:line="203"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During the period a vessel is subject to a charter, we will not be permitted to sell it to take advantage of increases in vessel values without the charterers’ consent. If a charter terminates, we may be unable to re-deploy the affected vessels at market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210"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The carrying values of our vessels may not represent their fair market value at any point in time because the market prices of secondhand vessels tend to fluctuate with changes in charter rates, vessel availability and the cost of new build vessels, steel prices and foreign exchange rates.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Maritime claimants could arrest our vessels, which could interrupt our cash flow.</w:t>
      </w:r>
    </w:p>
    <w:p>
      <w:pPr>
        <w:spacing w:after="0" w:line="259" w:lineRule="exact"/>
        <w:rPr>
          <w:sz w:val="20"/>
          <w:szCs w:val="20"/>
          <w:color w:val="auto"/>
        </w:rPr>
      </w:pPr>
    </w:p>
    <w:p>
      <w:pPr>
        <w:jc w:val="both"/>
        <w:ind w:right="20" w:firstLine="360"/>
        <w:spacing w:after="0" w:line="256" w:lineRule="auto"/>
        <w:rPr>
          <w:sz w:val="20"/>
          <w:szCs w:val="20"/>
          <w:color w:val="auto"/>
        </w:rPr>
      </w:pPr>
      <w:r>
        <w:rPr>
          <w:rFonts w:ascii="Times New Roman" w:cs="Times New Roman" w:eastAsia="Times New Roman" w:hAnsi="Times New Roman"/>
          <w:sz w:val="20"/>
          <w:szCs w:val="20"/>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2240" w:h="15840" w:orient="portrait"/>
          <w:cols w:equalWidth="0" w:num="1">
            <w:col w:w="9860"/>
          </w:cols>
          <w:pgMar w:left="1180" w:top="218" w:right="120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detained (for as few as 14 days in the case of one of our charters) as a result of a claim against us, we may be in default of our charter and the charterer may terminate the charter. This would negatively impact our revenues and cash flows.</w:t>
      </w:r>
    </w:p>
    <w:p>
      <w:pPr>
        <w:spacing w:after="0" w:line="17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seek to develop innovative and new technologies as part of our strategy that are not yet proven and may not realize the time and cost savings we expect to achieve.</w:t>
      </w:r>
    </w:p>
    <w:p>
      <w:pPr>
        <w:spacing w:after="0" w:line="17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Technological innovation may impair the economic attractiveness of our projects.</w:t>
      </w:r>
    </w:p>
    <w:p>
      <w:pPr>
        <w:spacing w:after="0" w:line="259"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Fast LNG technology is not yet proven and we may not be able to implement it as planned or at all.</w:t>
      </w:r>
    </w:p>
    <w:p>
      <w:pPr>
        <w:spacing w:after="0" w:line="259" w:lineRule="exact"/>
        <w:rPr>
          <w:sz w:val="20"/>
          <w:szCs w:val="20"/>
          <w:color w:val="auto"/>
        </w:rPr>
      </w:pPr>
    </w:p>
    <w:p>
      <w:pPr>
        <w:ind w:right="20" w:firstLine="360"/>
        <w:spacing w:after="0" w:line="235" w:lineRule="auto"/>
        <w:rPr>
          <w:sz w:val="20"/>
          <w:szCs w:val="20"/>
          <w:color w:val="auto"/>
        </w:rPr>
      </w:pPr>
      <w:r>
        <w:rPr>
          <w:rFonts w:ascii="Times New Roman" w:cs="Times New Roman" w:eastAsia="Times New Roman" w:hAnsi="Times New Roman"/>
          <w:sz w:val="20"/>
          <w:szCs w:val="20"/>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have commenced operations at our first Fast LNG solution, but we have not yet supplied any LNG from that facility to customers, and are therefore subject to risks related to full commercial development of the facility. We are also developing our first onshore LNG facility and are therefore subject to construction risks, risks associated with third-party contracting (including the risk that we will not be able to execute contracts with third parties that are necessary to develop the project) and service providers, permitting and regulatory risks. See “—We are subject to various construction 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For example, in April 2024, we experienced an incident involving equipment failure during the commissioning of our Fast LNG project in Altamira, Mexico, which delayed our commencement of operations and resulted in increased costs and delay of commencement of revenue generating activity.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w:t>
      </w:r>
    </w:p>
    <w:p>
      <w:pPr>
        <w:sectPr>
          <w:pgSz w:w="12240" w:h="15840" w:orient="portrait"/>
          <w:cols w:equalWidth="0" w:num="1">
            <w:col w:w="9880"/>
          </w:cols>
          <w:pgMar w:left="1180" w:top="218" w:right="1180" w:bottom="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2240" w:h="15840" w:orient="portrait"/>
          <w:cols w:equalWidth="0" w:num="1">
            <w:col w:w="9880"/>
          </w:cols>
          <w:pgMar w:left="1180" w:top="218" w:right="11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189"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data center infrastructure business has no operating history, and we may not recognize revenue or operating income in the future.</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On July 2, 2024, we announced the launch of Klondike Digital Infrastructure, a power and data center infrastructure business. We are subject to a multitude of risks inherent in a recently established business venture in a rapidly developing and changing industry. We have no operating history in the data center infrastructure business and may not be able to achieve our business objectives. We cannot assure you that our past experience will be sufficient to allow us to successfully achieve our business objectives, and our past performance should not be used as an indicator of our likely performance. Our lack of operating history in the data center infrastructure business, particularly in the development and operation of data center infrastructure, also makes it difficult to evaluate the prospects of this business. We have not yet been able to confirm that our business model can or will be successful, and we may not ever recognize revenue or operating income from this business. Our expectations regarding the data center business may not prove to be accurate. Our operating results will likely fluctuate moving forward as we develop this business. In addition, we expect additional growth in this business, which could place significant demands on our management team and other resources and require us to continue developing and improving our operational, financial and other internal controls. We may not be able to address these challenges in a cost-effective manner or at all. If we do not effectively manage our growth, we may not be able to execute on our business plan, respond to competitive pressures or take advantage of market opportunities, and our business, financial condition and results of operations could be materially harmed.</w:t>
      </w:r>
    </w:p>
    <w:p>
      <w:pPr>
        <w:spacing w:after="0" w:line="218"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do not currently generate cash from operations from this new business line, so we will need additional funding from other sources to develop this business. There can be no assurance that we will be able to obtain financing on favorable terms or at all, or that we will have sufficient capital to fully implement our business plan, which could have a material adverse effect on this business, results of operations, financial condition and prospects. You should consider our data center business and prospects in light of these risks and the risks and difficulties that we will encounter as we continue to develop our business model. We may not be able to address these risks and difficulties successfully, which would materially harm our business and operating results.</w:t>
      </w:r>
    </w:p>
    <w:p>
      <w:pPr>
        <w:spacing w:after="0" w:line="200" w:lineRule="exact"/>
        <w:rPr>
          <w:sz w:val="20"/>
          <w:szCs w:val="20"/>
          <w:color w:val="auto"/>
        </w:rPr>
      </w:pPr>
    </w:p>
    <w:p>
      <w:pPr>
        <w:ind w:right="1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Our data center business strategy depends on the successful development of our projects and any delays or unexpected costs associated with such projects may harm our growth prospects, future operating results and financial condition.</w:t>
      </w:r>
    </w:p>
    <w:p>
      <w:pPr>
        <w:spacing w:after="0" w:line="1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intend to develop a geographically diverse portfolio of power and data center infrastructure and we have more than 1,000 acres of developable land across sites in Brazil, Ireland, and the United States that we are analyzing for potential use in the business. Our business strategy depends upon the successful acquisition, permitting, gas supply, transmission work and completion of the development of these sites and similar projects in the future. Current and future development projects and expansion into new markets will involve substantial planning, allocation of significant company resources and certain risks, including risks related to the acquisition of real property, financing, zoning, permits and other regulatory approvals, construction costs and delays.</w:t>
      </w:r>
    </w:p>
    <w:p>
      <w:pPr>
        <w:spacing w:after="0" w:line="210" w:lineRule="exact"/>
        <w:rPr>
          <w:sz w:val="20"/>
          <w:szCs w:val="20"/>
          <w:color w:val="auto"/>
        </w:rPr>
      </w:pPr>
    </w:p>
    <w:p>
      <w:pPr>
        <w:ind w:right="180" w:firstLine="360"/>
        <w:spacing w:after="0" w:line="270" w:lineRule="auto"/>
        <w:rPr>
          <w:sz w:val="20"/>
          <w:szCs w:val="20"/>
          <w:color w:val="auto"/>
        </w:rPr>
      </w:pPr>
      <w:r>
        <w:rPr>
          <w:rFonts w:ascii="Times New Roman" w:cs="Times New Roman" w:eastAsia="Times New Roman" w:hAnsi="Times New Roman"/>
          <w:sz w:val="19"/>
          <w:szCs w:val="19"/>
          <w:color w:val="auto"/>
        </w:rPr>
        <w:t>These development projects will also require us to carefully select and rely on the experience of one or more general contractors and associated subcontractors during the construction process. Should a general contractor or significant subcontractor experience financial or other problems during the construction process, we could experience significant delays, increased costs to complete the project and other negative impacts to our expected financial returns. Site selection in current and expansion markets is also a critical factor in our expansion plans, and there may not be suitable properties available in our markets at a location that is attractive to our customers and has the necessary combination of other characteristics. Furthermore, while we may prefer to locate new data centers adjacent to or in close proximity to our existing data centers, we may be limited by the size and location of suitable properties. If we are unable to successfully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2240" w:h="15840" w:orient="portrait"/>
          <w:cols w:equalWidth="0" w:num="1">
            <w:col w:w="9880"/>
          </w:cols>
          <w:pgMar w:left="1180" w:top="218" w:right="11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develop and operate data center properties, our business, financial condition and results of operations will be significantly impaired.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data center business model depends upon the demand for data centers.</w:t>
      </w:r>
    </w:p>
    <w:p>
      <w:pPr>
        <w:spacing w:after="0" w:line="25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We intend to be in the business of developing infrastructure to serve data centers. A reduction in the demand for data center power or connectivity would have an adverse effect on our ability to develop our data center infrastructure business. We are susceptible to general economic slowdowns as well as adverse developments in the data center, internet and data communications and broader technology industries. Any such slowdown or adverse development could lead to reduced corporate information technology (“IT”) spending or reduced demand for data center space. Reduced demand could also result from business relocations, including to markets that we do not currently serve. Changes in industry practice or in technology could also reduce demand for the physical data center space we will provide. Our results of operations and financial condition could be materially adversely affected as a result of any or all of these factors.</w:t>
      </w:r>
    </w:p>
    <w:p>
      <w:pPr>
        <w:spacing w:after="0" w:line="20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may in the future incur, a significant amount of debt. The agreements governing our significant indebtedness place restrictions on us and our subsidiaries, reducing operational and financing flexibility and creating default risks.</w:t>
      </w:r>
    </w:p>
    <w:p>
      <w:pPr>
        <w:spacing w:after="0" w:line="196" w:lineRule="exact"/>
        <w:rPr>
          <w:sz w:val="20"/>
          <w:szCs w:val="20"/>
          <w:color w:val="auto"/>
        </w:rPr>
      </w:pPr>
    </w:p>
    <w:p>
      <w:pPr>
        <w:ind w:right="120" w:firstLine="360"/>
        <w:spacing w:after="0" w:line="252" w:lineRule="auto"/>
        <w:rPr>
          <w:sz w:val="20"/>
          <w:szCs w:val="20"/>
          <w:color w:val="auto"/>
        </w:rPr>
      </w:pPr>
      <w:r>
        <w:rPr>
          <w:rFonts w:ascii="Times New Roman" w:cs="Times New Roman" w:eastAsia="Times New Roman" w:hAnsi="Times New Roman"/>
          <w:sz w:val="20"/>
          <w:szCs w:val="20"/>
          <w:color w:val="auto"/>
        </w:rPr>
        <w:t>On an ongoing basis, we engage with lenders and other financial institutions in an effort to improve our liquidity and capital resources. As of December 31, 2024, we had approximately $9,027.1 million aggregate principal amount of indebtedness outstanding on a consolidated basis (which does not include any unconsolidated debt). The terms and conditions of our indebtedness, including the2026 Notes Indenture, the 2029 Notes Indenture, the Intercompany Credit Agreements and the Existing Credit Agreements (each as defined in "Management's Discussion and Analysis of Financial Condition and Results of Operations-Recent Developments."),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Additionally, our Existing Credit Agreements and the intercompany loan agreements securing, directly or indirectly, the New 2029 Notes require proceeds of certain asset sales be used to pay down existing indebtedness, which may further limit our ability to operate our business and finance future operations and capital needs.</w:t>
      </w:r>
    </w:p>
    <w:p>
      <w:pPr>
        <w:spacing w:after="0" w:line="215"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ability to service our existing and any future debt will depend on our performance and operations, which is subject to factors that are beyond our control and compliance with covenants in the agreements governing such debt. We may be 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1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Despite our substantial level of indebtedness, we and our subsidiaries will be permitted to incur additional indebtedness in the future. This could further exacerbate the risks associated with our substantial indebtedness.</w:t>
      </w:r>
    </w:p>
    <w:p>
      <w:pPr>
        <w:spacing w:after="0" w:line="161" w:lineRule="exact"/>
        <w:rPr>
          <w:sz w:val="20"/>
          <w:szCs w:val="20"/>
          <w:color w:val="auto"/>
        </w:rPr>
      </w:pPr>
    </w:p>
    <w:p>
      <w:pPr>
        <w:ind w:right="100" w:firstLine="360"/>
        <w:spacing w:after="0" w:line="259" w:lineRule="auto"/>
        <w:rPr>
          <w:sz w:val="20"/>
          <w:szCs w:val="20"/>
          <w:color w:val="auto"/>
        </w:rPr>
      </w:pPr>
      <w:r>
        <w:rPr>
          <w:rFonts w:ascii="Times New Roman" w:cs="Times New Roman" w:eastAsia="Times New Roman" w:hAnsi="Times New Roman"/>
          <w:sz w:val="19"/>
          <w:szCs w:val="19"/>
          <w:color w:val="auto"/>
        </w:rPr>
        <w:t>In addition, as our existing indebtedness matures, we may need to refinance that indebtedness with new indebtedness that may have a higher interest rate, which will increase our fixed costs. Although the instruments governing our indebtedness contain restrictions on the incurrence of additional indebtedness, these restrictions are subject to a number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qualifications and exceptions and the indebtedness incurred in compliance with these restrictions could be substantial. If</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ectPr>
          <w:pgSz w:w="12240" w:h="15840" w:orient="portrait"/>
          <w:cols w:equalWidth="0" w:num="1">
            <w:col w:w="9860"/>
          </w:cols>
          <w:pgMar w:left="1180" w:top="218" w:right="120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we incur additional debt and other obligations, the risks associated with our substantial leverage and the ability to service such debt would increase, which could have a material adverse effect on our business, results of operation and financial condition. For example, the New 2029 Notes issued pursuant to the New 2029 Indenture, issued in part to refinance our 2025 Notes, 2026 Notes and 2029 Notes in part to provide additional liquidity to the business, bear interest at a rate of 12.000% per annum, representing a signficiant increasing our annual interest expense, while also increasing our total aggregate principal amount of indebtedness outstanding. For additional detail, see “Management’s Discussion and Analysis of Financial Condition and Results of Operations—Recent Developments”- and "Liquidity and Capital Resources-Long Term Debt and Preferred Stock."</w:t>
      </w:r>
    </w:p>
    <w:p>
      <w:pPr>
        <w:spacing w:after="0" w:line="198"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dependent upon obtaining substantial additional funding from various sources, which may not be available or may only be available on unfavorable terms.</w:t>
      </w:r>
    </w:p>
    <w:p>
      <w:pPr>
        <w:spacing w:after="0" w:line="17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 xml:space="preserve">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Brazil and other specific markets or the opportunistic sale of one of our non-core assets such as the sale of our assets in Jamaica.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The terms of the Notes financing subjected us to, and </w:t>
      </w:r>
      <w:r>
        <w:rPr>
          <w:rFonts w:ascii="Times New Roman" w:cs="Times New Roman" w:eastAsia="Times New Roman" w:hAnsi="Times New Roman"/>
          <w:sz w:val="24"/>
          <w:szCs w:val="24"/>
          <w:color w:val="auto"/>
        </w:rPr>
        <w:t>a</w:t>
      </w:r>
      <w:r>
        <w:rPr>
          <w:rFonts w:ascii="Times New Roman" w:cs="Times New Roman" w:eastAsia="Times New Roman" w:hAnsi="Times New Roman"/>
          <w:sz w:val="20"/>
          <w:szCs w:val="20"/>
          <w:color w:val="auto"/>
        </w:rPr>
        <w:t>dditional debt financing, if available, may subject us to increased restrictive covenants that could limit, and in the case of the former, significantly limit, our flexibility to incur additional indebtedness and conduct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200"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and may in the future enter into or modify existing, joint ventures that might restrict our operational and corporate flexibility or require credit support.</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approximately all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2240" w:h="15840" w:orient="portrait"/>
          <w:cols w:equalWidth="0" w:num="1">
            <w:col w:w="9880"/>
          </w:cols>
          <w:pgMar w:left="1180" w:top="218" w:right="11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19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96" w:lineRule="exact"/>
        <w:rPr>
          <w:sz w:val="20"/>
          <w:szCs w:val="20"/>
          <w:color w:val="auto"/>
        </w:rPr>
      </w:pPr>
    </w:p>
    <w:p>
      <w:pPr>
        <w:ind w:firstLine="360"/>
        <w:spacing w:after="0" w:line="265" w:lineRule="auto"/>
        <w:rPr>
          <w:sz w:val="20"/>
          <w:szCs w:val="20"/>
          <w:color w:val="auto"/>
        </w:rPr>
      </w:pPr>
      <w:r>
        <w:rPr>
          <w:rFonts w:ascii="Times New Roman" w:cs="Times New Roman" w:eastAsia="Times New Roman" w:hAnsi="Times New Roman"/>
          <w:sz w:val="19"/>
          <w:szCs w:val="19"/>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impairments to long-lived assets.</w:t>
      </w:r>
    </w:p>
    <w:p>
      <w:pPr>
        <w:spacing w:after="0" w:line="25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20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96"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2240" w:h="15840" w:orient="portrait"/>
          <w:cols w:equalWidth="0" w:num="1">
            <w:col w:w="9880"/>
          </w:cols>
          <w:pgMar w:left="1180" w:top="218" w:right="11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 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197"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96"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29" w:lineRule="exact"/>
        <w:rPr>
          <w:sz w:val="20"/>
          <w:szCs w:val="20"/>
          <w:color w:val="auto"/>
        </w:rPr>
      </w:pPr>
    </w:p>
    <w:p>
      <w:pPr>
        <w:ind w:right="100" w:firstLine="360"/>
        <w:spacing w:after="0" w:line="283" w:lineRule="auto"/>
        <w:rPr>
          <w:sz w:val="20"/>
          <w:szCs w:val="20"/>
          <w:color w:val="auto"/>
        </w:rPr>
      </w:pPr>
      <w:r>
        <w:rPr>
          <w:rFonts w:ascii="Times New Roman" w:cs="Times New Roman" w:eastAsia="Times New Roman" w:hAnsi="Times New Roman"/>
          <w:sz w:val="19"/>
          <w:szCs w:val="19"/>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w:t>
      </w:r>
    </w:p>
    <w:p>
      <w:pPr>
        <w:sectPr>
          <w:pgSz w:w="12240" w:h="15840" w:orient="portrait"/>
          <w:cols w:equalWidth="0" w:num="1">
            <w:col w:w="9880"/>
          </w:cols>
          <w:pgMar w:left="1180" w:top="218" w:right="1180" w:bottom="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2240" w:h="15840" w:orient="portrait"/>
          <w:cols w:equalWidth="0" w:num="1">
            <w:col w:w="9880"/>
          </w:cols>
          <w:pgMar w:left="1180" w:top="218" w:right="11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20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Greenhouse Gases/Climate Change</w:t>
      </w:r>
      <w:r>
        <w:rPr>
          <w:rFonts w:ascii="Times New Roman" w:cs="Times New Roman" w:eastAsia="Times New Roman" w:hAnsi="Times New Roman"/>
          <w:sz w:val="20"/>
          <w:szCs w:val="20"/>
          <w:color w:val="auto"/>
        </w:rPr>
        <w:t>. The threat of climate change continues to attract considerable attention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On January 20, 2025, President Trump signed an executive order announcing the withdrawal of the United States from the Paris Agreement. Though most other countries (including those where we operate or plan to operate) have signed or acceded to this agreement. The scope of future climate and GHG emissions-focused regulatory requirements, if any, remains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Executive orders may be issued or federal legislation or regulatory initiatives may be adopted to achieve U.S. goals under the Paris Agreement. President Trump, however, has generally expressed opposition to regulatory initiatives aimed at restricting oil and gas operations and the impact his administration will have on any of these initiatives cannot be predicted.</w:t>
      </w:r>
    </w:p>
    <w:p>
      <w:pPr>
        <w:spacing w:after="0" w:line="213"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207" w:lineRule="exact"/>
        <w:rPr>
          <w:sz w:val="20"/>
          <w:szCs w:val="20"/>
          <w:color w:val="auto"/>
        </w:rPr>
      </w:pPr>
    </w:p>
    <w:p>
      <w:pPr>
        <w:ind w:right="100" w:firstLine="36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Fossil Fuels. </w:t>
      </w:r>
      <w:r>
        <w:rPr>
          <w:rFonts w:ascii="Times New Roman" w:cs="Times New Roman" w:eastAsia="Times New Roman" w:hAnsi="Times New Roman"/>
          <w:sz w:val="19"/>
          <w:szCs w:val="19"/>
          <w:color w:val="auto"/>
        </w:rPr>
        <w:t>Our business activities depend upon a sufficient and reliable supply of natural gas feedstock, and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security.None of our LNG facilities currently under development are subject to PHMSA’s jurisdiction, but regulators and governmental agencies in the other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2240" w:h="15840" w:orient="portrait"/>
          <w:cols w:equalWidth="0" w:num="1">
            <w:col w:w="9880"/>
          </w:cols>
          <w:pgMar w:left="1180" w:top="218" w:right="11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20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Hydraulic Fracturing. </w:t>
      </w:r>
      <w:r>
        <w:rPr>
          <w:rFonts w:ascii="Times New Roman" w:cs="Times New Roman" w:eastAsia="Times New Roman" w:hAnsi="Times New Roman"/>
          <w:sz w:val="20"/>
          <w:szCs w:val="20"/>
          <w:color w:val="auto"/>
        </w:rPr>
        <w:t>Certain of our suppliers of natural gas and LNG employ hydraulic fracturing techniques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21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216"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Indigenous Communities</w:t>
      </w:r>
      <w:r>
        <w:rPr>
          <w:rFonts w:ascii="Times New Roman" w:cs="Times New Roman" w:eastAsia="Times New Roman" w:hAnsi="Times New Roman"/>
          <w:sz w:val="20"/>
          <w:szCs w:val="20"/>
          <w:color w:val="auto"/>
        </w:rPr>
        <w:t>. Indigenous communities—including, in Brazil, Afro-indigenous (“Quilombola”)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Brazilian Institute of Enviornment and Renewable Resources, local environmental authorities in the localities in which we operate, the Federal Public Prosecutor’s Office and the National Indian Foundation (</w:t>
      </w:r>
      <w:r>
        <w:rPr>
          <w:rFonts w:ascii="Times New Roman" w:cs="Times New Roman" w:eastAsia="Times New Roman" w:hAnsi="Times New Roman"/>
          <w:sz w:val="20"/>
          <w:szCs w:val="20"/>
          <w:b w:val="1"/>
          <w:bCs w:val="1"/>
          <w:i w:val="1"/>
          <w:iCs w:val="1"/>
          <w:color w:val="auto"/>
        </w:rPr>
        <w:t>Fundação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Nacional do Índio </w:t>
      </w:r>
      <w:r>
        <w:rPr>
          <w:rFonts w:ascii="Times New Roman" w:cs="Times New Roman" w:eastAsia="Times New Roman" w:hAnsi="Times New Roman"/>
          <w:sz w:val="20"/>
          <w:szCs w:val="20"/>
          <w:color w:val="auto"/>
        </w:rPr>
        <w:t>or “FUNAI”) (for indigenous people) or Palmares Cultural Foundation (</w:t>
      </w:r>
      <w:r>
        <w:rPr>
          <w:rFonts w:ascii="Times New Roman" w:cs="Times New Roman" w:eastAsia="Times New Roman" w:hAnsi="Times New Roman"/>
          <w:sz w:val="20"/>
          <w:szCs w:val="20"/>
          <w:b w:val="1"/>
          <w:bCs w:val="1"/>
          <w:i w:val="1"/>
          <w:iCs w:val="1"/>
          <w:color w:val="auto"/>
        </w:rPr>
        <w:t>Fundação Cultural Palmares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Quilombola communities).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2240" w:h="15840" w:orient="portrait"/>
          <w:cols w:equalWidth="0" w:num="1">
            <w:col w:w="9880"/>
          </w:cols>
          <w:pgMar w:left="1180" w:top="218" w:right="11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21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209"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Offshore operations. </w:t>
      </w:r>
      <w:r>
        <w:rPr>
          <w:rFonts w:ascii="Times New Roman" w:cs="Times New Roman" w:eastAsia="Times New Roman" w:hAnsi="Times New Roman"/>
          <w:sz w:val="20"/>
          <w:szCs w:val="20"/>
          <w:color w:val="auto"/>
        </w:rPr>
        <w:t>Our operations in international waters and in the territorial waters of other countries are regulated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20"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In particular, development of offshore operations of natural gas and LNG are subject to extensive environmental, industry, maritime and social regulations. For example, the development and operation of our new FLNG facility off the coast of Altamira, State of Tamaulipas, is subject to regulation by Mexico’s Ministry of Energy (</w:t>
      </w:r>
      <w:r>
        <w:rPr>
          <w:rFonts w:ascii="Times New Roman" w:cs="Times New Roman" w:eastAsia="Times New Roman" w:hAnsi="Times New Roman"/>
          <w:sz w:val="20"/>
          <w:szCs w:val="20"/>
          <w:b w:val="1"/>
          <w:bCs w:val="1"/>
          <w:i w:val="1"/>
          <w:iCs w:val="1"/>
          <w:color w:val="auto"/>
        </w:rPr>
        <w:t>Secretaría de Energía</w:t>
      </w:r>
      <w:r>
        <w:rPr>
          <w:rFonts w:ascii="Times New Roman" w:cs="Times New Roman" w:eastAsia="Times New Roman" w:hAnsi="Times New Roman"/>
          <w:sz w:val="20"/>
          <w:szCs w:val="20"/>
          <w:color w:val="auto"/>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2240" w:h="15840" w:orient="portrait"/>
          <w:cols w:equalWidth="0" w:num="1">
            <w:col w:w="9880"/>
          </w:cols>
          <w:pgMar w:left="1180" w:top="218" w:right="11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changes. Such regulations are subject to change, and it is possible that ASEA or other Mexican regulatory bodies may impose new or revised requirements that could increase our operating costs and/or capital expenditures for operations in Mexican offshore waters.</w:t>
      </w:r>
    </w:p>
    <w:p>
      <w:pPr>
        <w:spacing w:after="0" w:line="19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Moreover, the overall trends are towards more regulations and more stringent requirements which are likely to add to our costs of doing business. For example, IMO regulations limit the sulfur content of fuel oil for ships to 0.5 weight percent starting thus increasing the cost of fuel and increasing expenses for us. Similarly, the European Union extended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21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numerous governmental export laws, and trade and economic sanctions laws and regulations, and anti-corruption laws and regulation.</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12"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20"/>
          <w:szCs w:val="20"/>
          <w:color w:val="auto"/>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 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2240" w:h="15840" w:orient="portrait"/>
          <w:cols w:equalWidth="0" w:num="1">
            <w:col w:w="9880"/>
          </w:cols>
          <w:pgMar w:left="1180" w:top="218" w:right="11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representations, warranties and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and regulators.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 financial condition, reputation, liquidity and future business prospects. 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spacing w:after="0" w:line="214"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19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their business.</w:t>
      </w:r>
    </w:p>
    <w:p>
      <w:pPr>
        <w:spacing w:after="0" w:line="1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None of our vessels have called on ports located in countries subject to comprehensive sanctions and embargoes</w:t>
      </w:r>
    </w:p>
    <w:p>
      <w:pPr>
        <w:spacing w:after="0" w:line="3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0"/>
          <w:szCs w:val="20"/>
          <w:color w:val="auto"/>
        </w:rPr>
        <w:t>imposed by the U.S. government or countries identified by the U.S. government as state sponsors of terrorism. When we charter our vessels to third parties we conduct comprehensive due diligence of the charterer and include contractual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transportation regulations may increase our costs and negatively impact our results of operations.</w:t>
      </w:r>
    </w:p>
    <w:p>
      <w:pPr>
        <w:spacing w:after="0" w:line="25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2240" w:h="15840" w:orient="portrait"/>
          <w:cols w:equalWidth="0" w:num="1">
            <w:col w:w="9880"/>
          </w:cols>
          <w:pgMar w:left="1180" w:top="218" w:right="11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202"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own the land on which our projects are located and are subject to leases, rights-of-ways, easements and other property rights for our operations.</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negatively impacted by environmental, social, and governance (“ESG”) and sustainability-related matters.</w:t>
      </w:r>
    </w:p>
    <w:p>
      <w:pPr>
        <w:spacing w:after="0" w:line="259"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210"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technology failures and cyberattacks could affect us significantly.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2240" w:h="15840" w:orient="portrait"/>
          <w:cols w:equalWidth="0" w:num="1">
            <w:col w:w="9880"/>
          </w:cols>
          <w:pgMar w:left="1180" w:top="218" w:right="11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20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implementation of various technologies,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insurance may be insufficient to cover losses that may occur to our property or result from our operations.</w:t>
      </w:r>
    </w:p>
    <w:p>
      <w:pPr>
        <w:spacing w:after="0" w:line="259"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9"/>
          <w:szCs w:val="19"/>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90"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key members of our management, the loss of any of whom could disrupt our business operations.</w:t>
      </w:r>
    </w:p>
    <w:p>
      <w:pPr>
        <w:spacing w:after="0" w:line="177"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depend to a large extent on the services of our chief executive officer, Wesley R. Edens,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95" w:lineRule="exact"/>
        <w:rPr>
          <w:sz w:val="20"/>
          <w:szCs w:val="20"/>
          <w:color w:val="auto"/>
        </w:rPr>
      </w:pPr>
    </w:p>
    <w:p>
      <w:pPr>
        <w:ind w:right="2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2240" w:h="15840" w:orient="portrait"/>
          <w:cols w:equalWidth="0" w:num="1">
            <w:col w:w="9880"/>
          </w:cols>
          <w:pgMar w:left="1180" w:top="218" w:right="11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local crew members could adversely affect our operations, business, results of operations and financial condition. In addition, jurisdiction-specific employment, labor, and subcontracting laws may affect contracting strategies and impact construction and operations.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affected adversely by labor disputes, strikes or work stoppages.</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Jurisdictions in Which We Operate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the economic, political, social and other conditions in the jurisdictions in which we operate.</w:t>
      </w:r>
    </w:p>
    <w:p>
      <w:pPr>
        <w:spacing w:after="0" w:line="259"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2240" w:h="15840" w:orient="portrait"/>
          <w:cols w:equalWidth="0" w:num="1">
            <w:col w:w="9880"/>
          </w:cols>
          <w:pgMar w:left="1180" w:top="218" w:right="11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their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condition and operating results may be adversely affected by foreign exchange fluctuations.</w:t>
      </w:r>
    </w:p>
    <w:p>
      <w:pPr>
        <w:spacing w:after="0" w:line="25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32"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Class A common stock may be volatile, which could result in rapid and substantial losses for our stockholders.</w:t>
      </w:r>
    </w:p>
    <w:p>
      <w:pPr>
        <w:spacing w:after="0" w:line="177"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44" w:lineRule="exact"/>
        <w:rPr>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shift in our investor base;</w:t>
      </w:r>
    </w:p>
    <w:p>
      <w:pPr>
        <w:spacing w:after="0" w:line="24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or annual earnings, or those of other comparable companies;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operating results;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2240" w:h="15840" w:orient="portrait"/>
          <w:cols w:equalWidth="0" w:num="1">
            <w:col w:w="9880"/>
          </w:cols>
          <w:pgMar w:left="1180" w:top="218" w:right="11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investments, acquisitions or dispositions;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our Class A common stock;</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earnings estimates by securities analysts or our ability to meet those estimates;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and share price performance of other comparable companies;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market fluctuations;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 the markets and market sectors in which we participate.</w:t>
      </w:r>
    </w:p>
    <w:p>
      <w:pPr>
        <w:spacing w:after="0" w:line="250"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95"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w:t>
      </w:r>
    </w:p>
    <w:p>
      <w:pPr>
        <w:spacing w:after="0" w:line="200" w:lineRule="exact"/>
        <w:rPr>
          <w:sz w:val="20"/>
          <w:szCs w:val="20"/>
          <w:color w:val="auto"/>
        </w:rPr>
      </w:pPr>
    </w:p>
    <w:p>
      <w:pPr>
        <w:spacing w:after="0" w:line="201" w:lineRule="exact"/>
        <w:rPr>
          <w:sz w:val="20"/>
          <w:szCs w:val="20"/>
          <w:color w:val="auto"/>
        </w:rPr>
      </w:pPr>
    </w:p>
    <w:p>
      <w:pPr>
        <w:ind w:right="34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small number of our original investors have the ability to direct the voting of a significant amount of our common stock, and their interests may conflict with those of our other stockholders.</w:t>
      </w:r>
    </w:p>
    <w:p>
      <w:pPr>
        <w:spacing w:after="0" w:line="17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2024, affiliates of certain entities controlled by Wesley R. Edens, Randal A. Nardone and affiliates of Fortress Investment Group LLC (“Founder Entities”) owned an aggregate of approximately 92,530,510 shares of Class A common stock, representing approximately 33.5% of our voting power, and affiliates of Energy Transition Holdings LLC, party to the Shareholders' Agreement, own an aggregate of approximately 25,559,846 shares of our Class A common stock, representing approximately 9.2% of the voting power of our Class A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211"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20"/>
          <w:szCs w:val="20"/>
          <w:color w:val="auto"/>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21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2240" w:h="15840" w:orient="portrait"/>
          <w:cols w:equalWidth="0" w:num="1">
            <w:col w:w="9880"/>
          </w:cols>
          <w:pgMar w:left="1180" w:top="218" w:right="11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36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spacing w:after="0" w:line="196" w:lineRule="exact"/>
        <w:rPr>
          <w:sz w:val="20"/>
          <w:szCs w:val="20"/>
          <w:color w:val="auto"/>
        </w:rPr>
      </w:pPr>
    </w:p>
    <w:p>
      <w:pPr>
        <w:ind w:right="180" w:firstLine="360"/>
        <w:spacing w:after="0" w:line="268" w:lineRule="auto"/>
        <w:rPr>
          <w:sz w:val="20"/>
          <w:szCs w:val="20"/>
          <w:color w:val="auto"/>
        </w:rPr>
      </w:pPr>
      <w:r>
        <w:rPr>
          <w:rFonts w:ascii="Times New Roman" w:cs="Times New Roman" w:eastAsia="Times New Roman" w:hAnsi="Times New Roman"/>
          <w:sz w:val="19"/>
          <w:szCs w:val="19"/>
          <w:color w:val="auto"/>
        </w:rPr>
        <w:t>To raise capital, we may sell substantial amounts of Class A common stock or securities convertible into our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on October 1, 2024, we exchanged 96,746 shares of our Series A Convertible Preferred Stock for 96,746 shares of our Series B Convertible Preferred Stock. Such shares are convertible at the option of the holders thereof into shares of Class A common stock on the terms set forth in the certificate of designations governing the Series B Convertible Preferred Stock. Additionally, on December 6, 2024, we issued 15,700,998 shares of our Class A common stock in satisfaction of our commitment fee obligations under the Exchange and Subscription Agreement in connection with the issuance of the New 2029 Notes.</w:t>
      </w:r>
    </w:p>
    <w:p>
      <w:pPr>
        <w:spacing w:after="0" w:line="187" w:lineRule="exact"/>
        <w:rPr>
          <w:sz w:val="20"/>
          <w:szCs w:val="20"/>
          <w:color w:val="auto"/>
        </w:rPr>
      </w:pPr>
    </w:p>
    <w:p>
      <w:pPr>
        <w:ind w:right="30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9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210"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dividing our board of directors into three classes of directors, with each class serving staggered three-year terms;</w:t>
      </w:r>
    </w:p>
    <w:p>
      <w:pPr>
        <w:spacing w:after="0" w:line="250" w:lineRule="exact"/>
        <w:rPr>
          <w:rFonts w:ascii="Times New Roman" w:cs="Times New Roman" w:eastAsia="Times New Roman" w:hAnsi="Times New Roman"/>
          <w:sz w:val="20"/>
          <w:szCs w:val="20"/>
          <w:color w:val="auto"/>
        </w:rPr>
      </w:pPr>
    </w:p>
    <w:p>
      <w:pPr>
        <w:jc w:val="both"/>
        <w:ind w:left="720" w:hanging="366"/>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195" w:lineRule="exact"/>
        <w:rPr>
          <w:rFonts w:ascii="Times New Roman" w:cs="Times New Roman" w:eastAsia="Times New Roman" w:hAnsi="Times New Roman"/>
          <w:sz w:val="20"/>
          <w:szCs w:val="20"/>
          <w:color w:val="auto"/>
        </w:rPr>
      </w:pPr>
    </w:p>
    <w:p>
      <w:pPr>
        <w:jc w:val="both"/>
        <w:ind w:left="720" w:hanging="366"/>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95"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cumulative voting in the election of directors;</w:t>
      </w:r>
    </w:p>
    <w:p>
      <w:pPr>
        <w:spacing w:after="0" w:line="250" w:lineRule="exact"/>
        <w:rPr>
          <w:rFonts w:ascii="Times New Roman" w:cs="Times New Roman" w:eastAsia="Times New Roman" w:hAnsi="Times New Roman"/>
          <w:sz w:val="20"/>
          <w:szCs w:val="20"/>
          <w:color w:val="auto"/>
        </w:rPr>
      </w:pPr>
    </w:p>
    <w:p>
      <w:pPr>
        <w:ind w:left="720" w:right="320" w:hanging="366"/>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advance notice provisions for stockholder proposals and nominations for elections to the board of directors to be acted upon at meetings of the stockholders; and</w:t>
      </w:r>
    </w:p>
    <w:p>
      <w:pPr>
        <w:spacing w:after="0" w:line="181" w:lineRule="exact"/>
        <w:rPr>
          <w:rFonts w:ascii="Times New Roman" w:cs="Times New Roman" w:eastAsia="Times New Roman" w:hAnsi="Times New Roman"/>
          <w:sz w:val="20"/>
          <w:szCs w:val="20"/>
          <w:color w:val="auto"/>
        </w:rPr>
      </w:pPr>
    </w:p>
    <w:p>
      <w:pPr>
        <w:ind w:left="720" w:right="20" w:hanging="366"/>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the board of directors is expressly authorized to adopt, or to alter or repeal certain provisions of our organizational documents to the extent permitted by law.</w:t>
      </w:r>
    </w:p>
    <w:p>
      <w:pPr>
        <w:spacing w:after="0" w:line="181" w:lineRule="exact"/>
        <w:rPr>
          <w:sz w:val="20"/>
          <w:szCs w:val="20"/>
          <w:color w:val="auto"/>
        </w:rPr>
      </w:pPr>
    </w:p>
    <w:p>
      <w:pPr>
        <w:ind w:right="40" w:firstLine="360"/>
        <w:spacing w:after="0" w:line="268" w:lineRule="auto"/>
        <w:rPr>
          <w:sz w:val="20"/>
          <w:szCs w:val="20"/>
          <w:color w:val="auto"/>
        </w:rPr>
      </w:pPr>
      <w:r>
        <w:rPr>
          <w:rFonts w:ascii="Times New Roman" w:cs="Times New Roman" w:eastAsia="Times New Roman" w:hAnsi="Times New Roman"/>
          <w:sz w:val="19"/>
          <w:szCs w:val="19"/>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51</w:t>
      </w:r>
    </w:p>
    <w:p>
      <w:pPr>
        <w:sectPr>
          <w:pgSz w:w="12240" w:h="15840" w:orient="portrait"/>
          <w:cols w:equalWidth="0" w:num="1">
            <w:col w:w="9840"/>
          </w:cols>
          <w:pgMar w:left="1180" w:top="218" w:right="122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96"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209" w:lineRule="exact"/>
        <w:rPr>
          <w:sz w:val="20"/>
          <w:szCs w:val="20"/>
          <w:color w:val="auto"/>
        </w:rPr>
      </w:pPr>
    </w:p>
    <w:p>
      <w:pPr>
        <w:ind w:right="24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declaration and payment of dividends to holders of our Class A common stock is at the discretion of our board of directors and we do not expect to pay dividends for the foreseeable future.</w:t>
      </w:r>
    </w:p>
    <w:p>
      <w:pPr>
        <w:spacing w:after="0" w:line="177"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9"/>
          <w:szCs w:val="19"/>
          <w:color w:val="auto"/>
        </w:rPr>
        <w:t>We do not expect to pay dividends for the foreseeable future. Any future declaration and payment of dividends to holders of our Class A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spacing w:after="0" w:line="185" w:lineRule="exact"/>
        <w:rPr>
          <w:sz w:val="20"/>
          <w:szCs w:val="20"/>
          <w:color w:val="auto"/>
        </w:rPr>
      </w:pPr>
    </w:p>
    <w:p>
      <w:pPr>
        <w:ind w:right="200" w:firstLine="2"/>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01"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have incurred and may in the future incur or issue debt or issue equity or equity-related securities to finance our operations, acquisitions or investments. Upon our liquidation, lenders and holders of our debt and holders of our preferred stock, such as the Series A Convertible Preferred Stock that was issued upon closing of the PortoCem acquisition,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A Convertible Preferred Stock,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and the Series A Convertible Preferred Stock has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A Convertible Preferred Stock)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206" w:lineRule="exact"/>
        <w:rPr>
          <w:sz w:val="20"/>
          <w:szCs w:val="20"/>
          <w:color w:val="auto"/>
        </w:rPr>
      </w:pPr>
    </w:p>
    <w:p>
      <w:pPr>
        <w:ind w:right="44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issue additional preferred stock, the terms of which could adversely affect the voting power or value of our Class A common stock.</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2240" w:h="15840" w:orient="portrait"/>
          <w:cols w:equalWidth="0" w:num="1">
            <w:col w:w="9880"/>
          </w:cols>
          <w:pgMar w:left="1180" w:top="218" w:right="11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As part of the PortoCem Acquisition, we issued 96,746 shares of the Series A Convertible Preferred Stock, which were subsequently exchanged for an equal number of shares of our Series B Convertible Preferred Stock. The terms of the Series B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 For example, each share of the Series A Convertible Preferred Stock has a liquidation preference of $1,000.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or issuances of our Class A common stock could adversely affect the market price of our Class A common stock.</w:t>
      </w:r>
    </w:p>
    <w:p>
      <w:pPr>
        <w:spacing w:after="0" w:line="259"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94" w:lineRule="exact"/>
        <w:rPr>
          <w:sz w:val="20"/>
          <w:szCs w:val="20"/>
          <w:color w:val="auto"/>
        </w:rPr>
      </w:pPr>
    </w:p>
    <w:p>
      <w:pPr>
        <w:ind w:right="10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 active, liquid and orderly trading market for our Class A common stock may not be maintained and the price of our Class A common stock may fluctuate significantly.</w:t>
      </w:r>
    </w:p>
    <w:p>
      <w:pPr>
        <w:spacing w:after="0" w:line="177"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32" w:lineRule="exact"/>
        <w:rPr>
          <w:sz w:val="20"/>
          <w:szCs w:val="20"/>
          <w:color w:val="auto"/>
        </w:rPr>
      </w:pPr>
    </w:p>
    <w:p>
      <w:pPr>
        <w:ind w:right="22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204" w:lineRule="exact"/>
        <w:rPr>
          <w:sz w:val="20"/>
          <w:szCs w:val="20"/>
          <w:color w:val="auto"/>
        </w:rPr>
      </w:pPr>
    </w:p>
    <w:p>
      <w:pPr>
        <w:jc w:val="both"/>
        <w:ind w:right="24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196"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2240" w:h="15840" w:orient="portrait"/>
          <w:cols w:equalWidth="0" w:num="1">
            <w:col w:w="9880"/>
          </w:cols>
          <w:pgMar w:left="1180" w:top="218" w:right="11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change in tax laws in any country in which we operate could adversely affect us.</w:t>
      </w:r>
    </w:p>
    <w:p>
      <w:pPr>
        <w:spacing w:after="0" w:line="25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been and may be involved in legal proceedings and may experience unfavorable outcomes.</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200" w:lineRule="exact"/>
        <w:rPr>
          <w:sz w:val="20"/>
          <w:szCs w:val="20"/>
          <w:color w:val="auto"/>
        </w:rPr>
      </w:pPr>
    </w:p>
    <w:p>
      <w:pPr>
        <w:ind w:right="8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96"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204"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96" w:lineRule="exact"/>
        <w:rPr>
          <w:sz w:val="20"/>
          <w:szCs w:val="20"/>
          <w:color w:val="auto"/>
        </w:rPr>
      </w:pPr>
    </w:p>
    <w:p>
      <w:pPr>
        <w:ind w:firstLine="270"/>
        <w:spacing w:after="0" w:line="260"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2240" w:h="15840" w:orient="portrait"/>
          <w:cols w:equalWidth="0" w:num="1">
            <w:col w:w="9880"/>
          </w:cols>
          <w:pgMar w:left="1180" w:top="218" w:right="11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both"/>
        <w:ind w:right="26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w:t>
      </w:r>
    </w:p>
    <w:p>
      <w:pPr>
        <w:spacing w:after="0" w:line="196"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The COVID-19 pandemic caused economic disruptions in various regions, disruptions in global supply chains, significant volatility and disruption of financial markets and in the price of oil and other commodities.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may be taken in response to the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1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Company assesses risks from cybersecurity threats, monitors its information systems for potential vulnerabilities and tests those systems pursuant to the Company’s cybersecurity standards, processes and practices, which are integrated into the Company’s overall risk management processes. To protect the Company’s information systems from cybersecurity threats, including those related to third-party service providers, the Company uses various security tools, such as third party vendors that help the Company identify, escalate, investigate, resolve and recover from security incidents in a timely manner. The Company’s cybersecurity procedures and standards are reviewed and overseen by the Company’s cybersecurity group.</w:t>
      </w:r>
    </w:p>
    <w:p>
      <w:pPr>
        <w:spacing w:after="0" w:line="210" w:lineRule="exact"/>
        <w:rPr>
          <w:sz w:val="20"/>
          <w:szCs w:val="20"/>
          <w:color w:val="auto"/>
        </w:rPr>
      </w:pPr>
    </w:p>
    <w:p>
      <w:pPr>
        <w:ind w:right="320" w:firstLine="360"/>
        <w:spacing w:after="0" w:line="275" w:lineRule="auto"/>
        <w:rPr>
          <w:sz w:val="20"/>
          <w:szCs w:val="20"/>
          <w:color w:val="auto"/>
        </w:rPr>
      </w:pPr>
      <w:r>
        <w:rPr>
          <w:rFonts w:ascii="Times New Roman" w:cs="Times New Roman" w:eastAsia="Times New Roman" w:hAnsi="Times New Roman"/>
          <w:sz w:val="19"/>
          <w:szCs w:val="19"/>
          <w:color w:val="auto"/>
        </w:rPr>
        <w:t>The cybersecurity group holds periodic meetings and reviews metrics it deems appropriate, including any incidents and threats, and the current state of cybersecurity issues and threats in the industry. These efforts include developing a threat model that assesses potential damage to the Company’s business and the likelihood of threat. We test the risk prioritization rankings of our threat model with external data about breaches and incidents reported by governmental agencies, including the Cybersecurity and Infrastructure Security Agency and National Security Agency. The Company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2240" w:h="15840" w:orient="portrait"/>
          <w:cols w:equalWidth="0" w:num="1">
            <w:col w:w="9880"/>
          </w:cols>
          <w:pgMar w:left="1180" w:top="218" w:right="11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partners with third parties to assess the effectiveness of our cybersecurity prevention and response systems and processes as needed.</w:t>
      </w:r>
    </w:p>
    <w:p>
      <w:pPr>
        <w:spacing w:after="0" w:line="181"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For high priority incidents, the cybersecurity group will manage a risk-appropriate response, which may include the use of third-party vendors to support any investigation, response, and remediation efforts. Updates regarding any incidents are provided to management as appropriate.</w:t>
      </w:r>
    </w:p>
    <w:p>
      <w:pPr>
        <w:spacing w:after="0" w:line="195"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To date, cybersecurity threats, including as a result of any previous cybersecurity incidents, have not materially affected and we believe are not reasonably likely to materially affect the Company, including its business strategy, results of operations or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57" w:lineRule="exact"/>
        <w:rPr>
          <w:sz w:val="20"/>
          <w:szCs w:val="20"/>
          <w:color w:val="auto"/>
        </w:rPr>
      </w:pPr>
    </w:p>
    <w:p>
      <w:pPr>
        <w:ind w:right="40" w:firstLine="270"/>
        <w:spacing w:after="0" w:line="255" w:lineRule="auto"/>
        <w:rPr>
          <w:sz w:val="20"/>
          <w:szCs w:val="20"/>
          <w:color w:val="auto"/>
        </w:rPr>
      </w:pPr>
      <w:r>
        <w:rPr>
          <w:rFonts w:ascii="Times New Roman" w:cs="Times New Roman" w:eastAsia="Times New Roman" w:hAnsi="Times New Roman"/>
          <w:sz w:val="20"/>
          <w:szCs w:val="20"/>
          <w:color w:val="auto"/>
        </w:rPr>
        <w:t>Management oversees the Company’s risk management process, including cybersecurity risks, and receives updates regarding any cybersecurity incidents directly from the cybersecurity group as appropriate. The cybersecurity group is led by the Chief Technology Officer, who has over 15 years of experience in information security. Management will evaluate any cybersecurity risks, concerns and issues and determine whether to escalate such issues to the Board or any of its committees. Our Board is responsible for the oversight of management as well as the business and affairs of the Company. In carrying out this responsibility, the Board discusses and receives regular updates on a wide variety of matters affecting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w:t>
      </w:r>
    </w:p>
    <w:p>
      <w:pPr>
        <w:spacing w:after="0" w:line="257"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Please see the risk factor captioned "Information technology failures and cyberattacks could affect us significantly” in Part I, Item 1A. “Risk Factors” for additional description of cybersecurity risks and potential related impacts on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2240" w:h="15840" w:orient="portrait"/>
          <w:cols w:equalWidth="0" w:num="1">
            <w:col w:w="9880"/>
          </w:cols>
          <w:pgMar w:left="1180" w:top="218" w:right="11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360" w:right="60" w:hanging="359"/>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Shareholder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57"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Our Class A common stock is traded on the Nasdaq Global Select Market under the symbol “NFE.” On February 28, 2025, there were 204 holders of record of our Class A common stock.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57"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We declared dividends of $0.10 per share of our Class A common stock totaling $61,517 during the year ended December 31, 2024, of which $41,010 have been paid. Under certain intercompany agreements entered into in conjunction with the debt exchange and refinancing transactions completed in the fourth quarter of 2024, New Fortress Energy Inc. is no longer permitted to pay dividends to common shareholders declared after September 30,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Performance Graph</w:t>
      </w:r>
    </w:p>
    <w:p>
      <w:pPr>
        <w:spacing w:after="0" w:line="257"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following graph compares the cumulative total return to shareholders on our Class A common stock relative to the S&amp;P 500, iShares Global Clean Energy ETF Index (“ICLN”), Vanguard Energy ETF (“VDE”), and Energy Select Sector SPDR Fund ("XLE"), including reinvestment of dividends. The addition of XLE reflects that as a global energy infrastructure company, our common stock can trade in correlation with global oil, gas and consumable fuel companies, and such companies are the components of XLE.</w:t>
      </w:r>
    </w:p>
    <w:p>
      <w:pPr>
        <w:spacing w:after="0" w:line="204"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20"/>
          <w:szCs w:val="20"/>
          <w:color w:val="auto"/>
        </w:rPr>
        <w:t>The graph assumes that on December 31, 2019, $100 was invested in our Class A shares and in each index based on the closing market price, and that all dividends were reinvested. The returns shown are based on historical results and are not intended to suggest future performance.</w:t>
      </w:r>
    </w:p>
    <w:p>
      <w:pPr>
        <w:spacing w:after="0" w:line="195"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163195</wp:posOffset>
            </wp:positionV>
            <wp:extent cx="6290945" cy="3242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6290945" cy="3242310"/>
                    </a:xfrm>
                    <a:prstGeom prst="rect">
                      <a:avLst/>
                    </a:prstGeom>
                    <a:noFill/>
                  </pic:spPr>
                </pic:pic>
              </a:graphicData>
            </a:graphic>
          </wp:anchor>
        </w:drawing>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2240" w:h="15840" w:orient="portrait"/>
          <w:cols w:equalWidth="0" w:num="1">
            <w:col w:w="9880"/>
          </w:cols>
          <w:pgMar w:left="1180" w:top="218" w:right="1180" w:bottom="0" w:gutter="0" w:footer="0" w:header="0"/>
          <w:type w:val="continuous"/>
        </w:sectPr>
      </w:pPr>
    </w:p>
    <w:bookmarkStart w:id="60" w:name="page61"/>
    <w:bookmarkEnd w:id="60"/>
    <w:p>
      <w:pPr>
        <w:ind w:left="2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309245</wp:posOffset>
                </wp:positionV>
                <wp:extent cx="0" cy="146050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0"/>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4.35pt" to="0.5pt,13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6931025</wp:posOffset>
                </wp:positionH>
                <wp:positionV relativeFrom="paragraph">
                  <wp:posOffset>309245</wp:posOffset>
                </wp:positionV>
                <wp:extent cx="0" cy="14605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0"/>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5.75pt,24.35pt" to="545.75pt,139.35pt" o:allowincell="f" strokecolor="#000000" strokeweight="0pt"/>
            </w:pict>
          </mc:Fallback>
        </mc:AlternateContent>
        <w:drawing>
          <wp:anchor simplePos="0" relativeHeight="251657728" behindDoc="1" locked="0" layoutInCell="0" allowOverlap="1">
            <wp:simplePos x="0" y="0"/>
            <wp:positionH relativeFrom="column">
              <wp:posOffset>-5715</wp:posOffset>
            </wp:positionH>
            <wp:positionV relativeFrom="paragraph">
              <wp:posOffset>309880</wp:posOffset>
            </wp:positionV>
            <wp:extent cx="6950075" cy="146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950075" cy="1466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Cumulative Total Return Percentage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2644775</wp:posOffset>
                </wp:positionH>
                <wp:positionV relativeFrom="paragraph">
                  <wp:posOffset>23495</wp:posOffset>
                </wp:positionV>
                <wp:extent cx="0" cy="127952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25pt,1.85pt" to="208.2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3359150</wp:posOffset>
                </wp:positionH>
                <wp:positionV relativeFrom="paragraph">
                  <wp:posOffset>23495</wp:posOffset>
                </wp:positionV>
                <wp:extent cx="0" cy="127952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5pt,1.85pt" to="264.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4073525</wp:posOffset>
                </wp:positionH>
                <wp:positionV relativeFrom="paragraph">
                  <wp:posOffset>23495</wp:posOffset>
                </wp:positionV>
                <wp:extent cx="0" cy="127952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75pt,1.85pt" to="320.7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4787900</wp:posOffset>
                </wp:positionH>
                <wp:positionV relativeFrom="paragraph">
                  <wp:posOffset>23495</wp:posOffset>
                </wp:positionV>
                <wp:extent cx="0" cy="127952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pt,1.85pt" to="377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5502275</wp:posOffset>
                </wp:positionH>
                <wp:positionV relativeFrom="paragraph">
                  <wp:posOffset>23495</wp:posOffset>
                </wp:positionV>
                <wp:extent cx="0" cy="127952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25pt,1.85pt" to="433.2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6216650</wp:posOffset>
                </wp:positionH>
                <wp:positionV relativeFrom="paragraph">
                  <wp:posOffset>23495</wp:posOffset>
                </wp:positionV>
                <wp:extent cx="0" cy="127952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5pt,1.85pt" to="489.5pt,102.6pt" o:allowincell="f" strokecolor="#000000" strokeweight="0pt"/>
            </w:pict>
          </mc:Fallback>
        </mc:AlternateConten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Borders>
              <w:top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Company / Index</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20" w:type="dxa"/>
            <w:vAlign w:val="bottom"/>
            <w:tcBorders>
              <w:top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1140" w:type="dxa"/>
            <w:vAlign w:val="bottom"/>
            <w:tcBorders>
              <w:top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1120" w:type="dxa"/>
            <w:vAlign w:val="bottom"/>
            <w:tcBorders>
              <w:top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1120" w:type="dxa"/>
            <w:vAlign w:val="bottom"/>
            <w:tcBorders>
              <w:top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1120" w:type="dxa"/>
            <w:vAlign w:val="bottom"/>
            <w:tcBorders>
              <w:top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auto"/>
              <w:right w:val="single" w:sz="8" w:color="auto"/>
            </w:tcBorders>
            <w:gridSpan w:val="2"/>
            <w:vMerge w:val="continue"/>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0"/>
                <w:szCs w:val="20"/>
                <w:color w:val="auto"/>
                <w:w w:val="95"/>
              </w:rPr>
              <w:t>31, 2019</w:t>
            </w:r>
            <w:r>
              <w:rPr>
                <w:rFonts w:ascii="Times New Roman" w:cs="Times New Roman" w:eastAsia="Times New Roman" w:hAnsi="Times New Roman"/>
                <w:sz w:val="26"/>
                <w:szCs w:val="26"/>
                <w:color w:val="auto"/>
                <w:w w:val="95"/>
                <w:vertAlign w:val="superscript"/>
              </w:rPr>
              <w:t>(1)</w:t>
            </w:r>
          </w:p>
        </w:tc>
        <w:tc>
          <w:tcPr>
            <w:tcW w:w="1120" w:type="dxa"/>
            <w:vAlign w:val="bottom"/>
            <w:tcBorders>
              <w:bottom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0"/>
                <w:szCs w:val="20"/>
                <w:color w:val="auto"/>
              </w:rPr>
              <w:t>31, 2020</w:t>
            </w:r>
            <w:r>
              <w:rPr>
                <w:rFonts w:ascii="Times New Roman" w:cs="Times New Roman" w:eastAsia="Times New Roman" w:hAnsi="Times New Roman"/>
                <w:sz w:val="26"/>
                <w:szCs w:val="26"/>
                <w:color w:val="auto"/>
                <w:vertAlign w:val="superscript"/>
              </w:rPr>
              <w:t>(1)</w:t>
            </w:r>
          </w:p>
        </w:tc>
        <w:tc>
          <w:tcPr>
            <w:tcW w:w="1140" w:type="dxa"/>
            <w:vAlign w:val="bottom"/>
            <w:tcBorders>
              <w:bottom w:val="single" w:sz="8" w:color="auto"/>
              <w:right w:val="single" w:sz="8" w:color="auto"/>
            </w:tcBorders>
          </w:tcPr>
          <w:p>
            <w:pPr>
              <w:ind w:left="140"/>
              <w:spacing w:after="0" w:line="263" w:lineRule="exact"/>
              <w:rPr>
                <w:sz w:val="20"/>
                <w:szCs w:val="20"/>
                <w:color w:val="auto"/>
              </w:rPr>
            </w:pPr>
            <w:r>
              <w:rPr>
                <w:rFonts w:ascii="Times New Roman" w:cs="Times New Roman" w:eastAsia="Times New Roman" w:hAnsi="Times New Roman"/>
                <w:sz w:val="20"/>
                <w:szCs w:val="20"/>
                <w:color w:val="auto"/>
              </w:rPr>
              <w:t>31, 2021</w:t>
            </w:r>
            <w:r>
              <w:rPr>
                <w:rFonts w:ascii="Times New Roman" w:cs="Times New Roman" w:eastAsia="Times New Roman" w:hAnsi="Times New Roman"/>
                <w:sz w:val="26"/>
                <w:szCs w:val="26"/>
                <w:color w:val="auto"/>
                <w:vertAlign w:val="superscript"/>
              </w:rPr>
              <w:t>(1)</w:t>
            </w:r>
          </w:p>
        </w:tc>
        <w:tc>
          <w:tcPr>
            <w:tcW w:w="1120" w:type="dxa"/>
            <w:vAlign w:val="bottom"/>
            <w:tcBorders>
              <w:bottom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0"/>
                <w:szCs w:val="20"/>
                <w:color w:val="auto"/>
              </w:rPr>
              <w:t>31, 2022</w:t>
            </w:r>
            <w:r>
              <w:rPr>
                <w:rFonts w:ascii="Times New Roman" w:cs="Times New Roman" w:eastAsia="Times New Roman" w:hAnsi="Times New Roman"/>
                <w:sz w:val="26"/>
                <w:szCs w:val="26"/>
                <w:color w:val="auto"/>
                <w:vertAlign w:val="superscript"/>
              </w:rPr>
              <w:t>(1)</w:t>
            </w:r>
          </w:p>
        </w:tc>
        <w:tc>
          <w:tcPr>
            <w:tcW w:w="1120" w:type="dxa"/>
            <w:vAlign w:val="bottom"/>
            <w:tcBorders>
              <w:bottom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0"/>
                <w:szCs w:val="20"/>
                <w:color w:val="auto"/>
              </w:rPr>
              <w:t>31, 2023</w:t>
            </w:r>
            <w:r>
              <w:rPr>
                <w:rFonts w:ascii="Times New Roman" w:cs="Times New Roman" w:eastAsia="Times New Roman" w:hAnsi="Times New Roman"/>
                <w:sz w:val="26"/>
                <w:szCs w:val="26"/>
                <w:color w:val="auto"/>
                <w:vertAlign w:val="superscript"/>
              </w:rPr>
              <w:t>(1)</w:t>
            </w:r>
          </w:p>
        </w:tc>
        <w:tc>
          <w:tcPr>
            <w:tcW w:w="1120" w:type="dxa"/>
            <w:vAlign w:val="bottom"/>
            <w:tcBorders>
              <w:bottom w:val="single" w:sz="8" w:color="auto"/>
            </w:tcBorders>
          </w:tcPr>
          <w:p>
            <w:pPr>
              <w:ind w:left="120"/>
              <w:spacing w:after="0" w:line="263" w:lineRule="exact"/>
              <w:rPr>
                <w:sz w:val="20"/>
                <w:szCs w:val="20"/>
                <w:color w:val="auto"/>
              </w:rPr>
            </w:pPr>
            <w:r>
              <w:rPr>
                <w:rFonts w:ascii="Times New Roman" w:cs="Times New Roman" w:eastAsia="Times New Roman" w:hAnsi="Times New Roman"/>
                <w:sz w:val="20"/>
                <w:szCs w:val="20"/>
                <w:color w:val="auto"/>
              </w:rPr>
              <w:t>31, 2024</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NFE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244.0%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56.8%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178.2%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171.4%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S&amp;P 500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18.4%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52.3%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24.7%</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57.5%</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96.8%</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iShares Global Clean Energy ETF Index ("ICLN")</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141.8%</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83.3%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73.4%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38.1%</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Energy Select Sector SPDR Fund ("XLE")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(32.5)%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69.9%</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68.8%</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78.1%</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Vanguard Energy ETF ("VDE")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(33.1)%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4.6%</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70.3%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70.3%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81.8%</w:t>
            </w:r>
          </w:p>
        </w:tc>
        <w:tc>
          <w:tcPr>
            <w:tcW w:w="0" w:type="dxa"/>
            <w:vAlign w:val="bottom"/>
          </w:tcPr>
          <w:p>
            <w:pPr>
              <w:spacing w:after="0"/>
              <w:rPr>
                <w:sz w:val="1"/>
                <w:szCs w:val="1"/>
                <w:color w:val="auto"/>
              </w:rPr>
            </w:pPr>
          </w:p>
        </w:tc>
      </w:tr>
      <w:tr>
        <w:trPr>
          <w:trHeight w:val="417"/>
        </w:trPr>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39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Last trading day of the month</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6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920"/>
          </w:cols>
          <w:pgMar w:left="1160" w:top="218" w:right="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58</w:t>
      </w:r>
    </w:p>
    <w:p>
      <w:pPr>
        <w:sectPr>
          <w:pgSz w:w="12240" w:h="15840" w:orient="portrait"/>
          <w:cols w:equalWidth="0" w:num="1">
            <w:col w:w="10920"/>
          </w:cols>
          <w:pgMar w:left="1160" w:top="218" w:right="1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ind w:right="20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99" w:lineRule="exact"/>
        <w:rPr>
          <w:sz w:val="20"/>
          <w:szCs w:val="20"/>
          <w:color w:val="auto"/>
        </w:rPr>
      </w:pPr>
    </w:p>
    <w:p>
      <w:pPr>
        <w:ind w:right="20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196"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comparison of the years ended December 31, 2023 and 2022 can be found in our Annual Report on Form 10-K for the year ended December 31, 2023 located within “Part II, Item 7. Management’s Discussion and Analysis of Financial Condition and Results of Operations.”</w:t>
      </w:r>
    </w:p>
    <w:p>
      <w:pPr>
        <w:spacing w:after="0" w:line="190"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The following information should be read in conjunction with our audited consolidated financial statements and accompanying notes included elsewhere in this Annual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202" w:lineRule="exact"/>
        <w:rPr>
          <w:sz w:val="20"/>
          <w:szCs w:val="20"/>
          <w:color w:val="auto"/>
        </w:rPr>
      </w:pPr>
    </w:p>
    <w:p>
      <w:pPr>
        <w:ind w:right="300" w:firstLine="3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references to “Company,” “NFE,” “we,” “our,” “us” or like terms refer to New Fortress Energy Inc.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this Annual Report, “Items 1 and 2: Business and Properties” under “Sustainability—Toward a Low Carbon Future.”</w:t>
      </w:r>
    </w:p>
    <w:p>
      <w:pPr>
        <w:spacing w:after="0" w:line="209"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Our chief operating decision maker makes resource allocation decisions and assesses performance on the basis of two operating segments, Terminals and Infrastructure and Ships.</w:t>
      </w:r>
    </w:p>
    <w:p>
      <w:pPr>
        <w:spacing w:after="0" w:line="181"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20"/>
          <w:szCs w:val="20"/>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Our first floating liquefaction unit, which we refer to as "Fast LNG" or "FLNG", began producing LNG in July 2024, and, once fully commissioned, we plan to source a portion of our LNG needs from this facility. 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which allows us to optimally manage our LNG supply and fleet.</w:t>
      </w:r>
    </w:p>
    <w:p>
      <w:pPr>
        <w:spacing w:after="0" w:line="213"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Our Ships segment includes certain vessels which are currently chartered under long-term arrangements to third parties and are part of the Energos Formation Transaction (defined below). Over time, we expect to utilize these vessels in our own terminal operations as charter agreements for these vessels expire, and these vessels are included in our Terminals and Infrastructure segment.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2240" w:h="15840" w:orient="portrait"/>
          <w:cols w:equalWidth="0" w:num="1">
            <w:col w:w="9880"/>
          </w:cols>
          <w:pgMar w:left="1180" w:top="218" w:right="11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Operations – Terminals and Infrastructure</w:t>
      </w:r>
    </w:p>
    <w:p>
      <w:pPr>
        <w:spacing w:after="0" w:line="25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Our management team has successfully employed our strategy to secure long-term contracts with significant customers, including Jamaica Public Service Company Limited (“JPS”), the sole public utility in Jamaica, South Jamaica Power Company Limited (“SJPC”), an affiliate of JPS, Jamalco, a bauxite mining and alumina producer in Jamaica, the 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Montego Bay Facility</w:t>
      </w:r>
    </w:p>
    <w:p>
      <w:pPr>
        <w:spacing w:after="0" w:line="25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60,000 MMBtu of LNG per day and features approximately 7,000 cubic meters of onsite storage. The Montego Bay Facility also consists of an ISO loading facility that can transport LNG to numerous on-island industrial users.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Old Harbour Facility</w:t>
      </w:r>
    </w:p>
    <w:p>
      <w:pPr>
        <w:spacing w:after="0" w:line="25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Old Harbour Facility is an offshore facility consisting of an FSRU that is capable of processing up to 750,000 MMBtus of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agreement. The CHP Plant also provides steam to Jamalco under a long-term take-or-pay agreement. The Old Harbour Facility also supplies gas directly to Jamalco to utilize in their gas-fired boilers.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 Juan Facility</w:t>
      </w:r>
    </w:p>
    <w:p>
      <w:pPr>
        <w:spacing w:after="0" w:line="259" w:lineRule="exact"/>
        <w:rPr>
          <w:sz w:val="20"/>
          <w:szCs w:val="20"/>
          <w:color w:val="auto"/>
        </w:rPr>
      </w:pPr>
    </w:p>
    <w:p>
      <w:pPr>
        <w:ind w:right="280" w:firstLine="360"/>
        <w:spacing w:after="0" w:line="256" w:lineRule="auto"/>
        <w:rPr>
          <w:sz w:val="20"/>
          <w:szCs w:val="20"/>
          <w:color w:val="auto"/>
        </w:rPr>
      </w:pPr>
      <w:r>
        <w:rPr>
          <w:rFonts w:ascii="Times New Roman" w:cs="Times New Roman" w:eastAsia="Times New Roman" w:hAnsi="Times New Roman"/>
          <w:sz w:val="20"/>
          <w:szCs w:val="20"/>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industrial end-user customers in Puerto Rico, and after being awarded a new gas sale agreement in the first quarter of 2024, PREPA's gas-fired power plants throughout the island of Puerto Rico.</w:t>
      </w:r>
    </w:p>
    <w:p>
      <w:pPr>
        <w:spacing w:after="0" w:line="208"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2023, we entered into agreements for the installation and operation of approximately 350MW of additional power to be generated at the Palo Seco Power Plant and San Juan Power Plant in Puerto Rico as well as the supply of natural gas. Our customer was contracted by the U.S. Army Corps of Engineers to support the island’s grid stabilization project with additional power capacity to enable maintenance and repair work on Puerto Rico’s power system and grid. We commissioned 350MW of duel-fuel power generation using our gas supply in less than 180 days.</w:t>
      </w:r>
    </w:p>
    <w:p>
      <w:pPr>
        <w:spacing w:after="0" w:line="20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March 2024, our contract to provide emergency power services to support the grid stabilization project was terminated, and we completed a series of transactions that included the sale of turbines and related equipment deployed to support the grid stabilization project to PREPA. We were also awarded a new gas sale agreement with PREPA to supply up to 80 TBtu annually to PREPA's gas-fired power plants, including to the turbines that were sold to PREPA. The contract initially has a one year term that is renewable annually for three additional annual periods.</w:t>
      </w:r>
    </w:p>
    <w:p>
      <w:pPr>
        <w:spacing w:after="0" w:line="204"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We are pursuing a $659 million request for equitable adjustment related to the early termination of our contract to provide emergency power services. The actual amount of any such adjustment and the timing of any related payments may be materially different than management’s current estimate. As a result, the Company cannot offer any assurance as to the actual amount that may be recovered pursuant to such request or subsequent claim, if any.</w:t>
      </w:r>
    </w:p>
    <w:p>
      <w:pPr>
        <w:spacing w:after="0" w:line="203" w:lineRule="exact"/>
        <w:rPr>
          <w:sz w:val="20"/>
          <w:szCs w:val="20"/>
          <w:color w:val="auto"/>
        </w:rPr>
      </w:pPr>
    </w:p>
    <w:p>
      <w:pPr>
        <w:ind w:right="520" w:firstLine="360"/>
        <w:spacing w:after="0" w:line="309" w:lineRule="auto"/>
        <w:rPr>
          <w:sz w:val="20"/>
          <w:szCs w:val="20"/>
          <w:color w:val="auto"/>
        </w:rPr>
      </w:pPr>
      <w:r>
        <w:rPr>
          <w:rFonts w:ascii="Times New Roman" w:cs="Times New Roman" w:eastAsia="Times New Roman" w:hAnsi="Times New Roman"/>
          <w:sz w:val="19"/>
          <w:szCs w:val="19"/>
          <w:color w:val="auto"/>
        </w:rPr>
        <w:t>In the first quarter of 2023, our wholly-owned subsidiary, Genera PR LLC ("Genera"), was awarded a 10-Year contract for the operation and maintenance of PREPA’s thermal generation assets with the goal of reducing costs and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2240" w:h="15840" w:orient="portrait"/>
          <w:cols w:equalWidth="0" w:num="1">
            <w:col w:w="9880"/>
          </w:cols>
          <w:pgMar w:left="1180" w:top="218" w:right="11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20"/>
          <w:szCs w:val="20"/>
          <w:color w:val="auto"/>
        </w:rPr>
        <w:t>improving reliability of power generation in Puerto Rico. We receive an annual management fee and are eligible for performance-based incentive fees. The service period under the contract commenced on July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 Paz Facility</w:t>
      </w:r>
    </w:p>
    <w:p>
      <w:pPr>
        <w:spacing w:after="0" w:line="259"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the fourth quarter of 2021, we began commercial operations at the Port of Pichilingue in Baja California Sur, Mexico (the “La Paz Facility”). The La Paz Facility also supplies our gas-fired power units located adjacent to the La Paz Facility (the “La Paz Power Plant”) and could have a maximum capacity of up to 135MW of power. We placed the La Paz Power Plant into service in the third quarter of 2023.</w:t>
      </w:r>
    </w:p>
    <w:p>
      <w:pPr>
        <w:spacing w:after="0" w:line="203"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In the fourth quarter of 2022, we finalized short-form agreements with CFE to expand and extend our supply of natural gas to multiple CFE power generation facilities in Baja California Sur and to sell the La Paz Power Plant to CFE. In the third quarter of 2024, we executed a 10-year gas sales agreement to supply natural gas to additional CFE facilities on take-or-pay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Santa Catarina Facility</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placed our Santa Catarina Facility in service in the fourth quarter of 2024. The Santa Catarina Facility is located on the southern coast of Brazil and consists of an FSRU with a processing capacity of approximately 500,000 MMBtu from LNG per day and LNG storage capacity of up to 138,000 cubic meters. We have developed and constructed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of natural gas.</w:t>
      </w:r>
    </w:p>
    <w:p>
      <w:pPr>
        <w:spacing w:after="0" w:line="210"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In August 2024, we acquired 100% of the outstanding equity interest of Usina Termeletrica de Lins S.A. ("Lins"), which owns key rights and permits to develop a natural gas-fired power plant for up to 2.05GW located in the State of Sao Paulo, within the city limits of Lins. We expect to participate in upcoming power auctions in Brazil scheduled for June 2025, and to the extent that we are successful in these auctions, we expect to develop a gas-fired power plant using natural gas from the Santa Catarina Facility.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Miami Facility</w:t>
      </w:r>
    </w:p>
    <w:p>
      <w:pPr>
        <w:spacing w:after="0" w:line="259" w:lineRule="exact"/>
        <w:rPr>
          <w:sz w:val="20"/>
          <w:szCs w:val="20"/>
          <w:color w:val="auto"/>
        </w:rPr>
      </w:pPr>
    </w:p>
    <w:p>
      <w:pPr>
        <w:ind w:right="320" w:firstLine="360"/>
        <w:spacing w:after="0" w:line="258" w:lineRule="auto"/>
        <w:rPr>
          <w:sz w:val="20"/>
          <w:szCs w:val="20"/>
          <w:color w:val="auto"/>
        </w:rPr>
      </w:pPr>
      <w:r>
        <w:rPr>
          <w:rFonts w:ascii="Times New Roman" w:cs="Times New Roman" w:eastAsia="Times New Roman" w:hAnsi="Times New Roman"/>
          <w:sz w:val="20"/>
          <w:szCs w:val="20"/>
          <w:color w:val="auto"/>
        </w:rPr>
        <w:t>Our Miami Facility began operations in April 2016. This facility has liquefaction capacity of approximately 8,300 MMBtu of LNG per day and enables us to produce LNG for sales directly to industrial end-users in southern Florida, including Florida East Coast Railway via our train loading facility, and other customers throughout the Caribbean using ISO containers. On June 30, 2024, the Company entered into a definitive agreement to sell its Miami Facility for $62 million. The transaction closed in the fourth quarter of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LNG Supply and Cargo Sales</w:t>
      </w:r>
    </w:p>
    <w:p>
      <w:pPr>
        <w:spacing w:after="0" w:line="259"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NFE provides reliable, affordable and clean energy supplies to customers around the world that we plan to satisfy through the following sources: 1) our current contractual supply commitments; 2) our own FLNG production; and 3) additional LNG supply contracts expected to commence in 2027. Our first FLNG facility began to produce LNG in July 2024, and we expect to generate up to 70 TBtus annually from this facility. When expected production from FLNG is combined with our commitments to purchase and receive physical delivery of LNG volumes, we expect to have sufficient supply for 100% of our committed volumes for each of our downstream terminals inclusive of our Montego Bay Facility, Old Harbour Facility, San Juan Facility, La Paz Facility, Barcarena Facility and Santa Catarina Facility. Additionally, we have binding contracts for LNG volumes from two separate U.S. LNG facilities, each with a 20-year term, which are expected to commence in 2027 and 2029.</w:t>
      </w:r>
    </w:p>
    <w:p>
      <w:pPr>
        <w:spacing w:after="0" w:line="209"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color w:val="auto"/>
        </w:rPr>
        <w:t>Geopolitical events have substantially impacted and may continue to impact the natural gas and LNG markets, which have experienced significant volatility in recent years.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we plan to further mitigate our exposure to variability in LNG prices, and our long-term strategy is to sell substantially all cargos produced to customers on a long-term, take-or-pay basis through our downstream terminals.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2240" w:h="15840" w:orient="portrait"/>
          <w:cols w:equalWidth="0" w:num="1">
            <w:col w:w="9880"/>
          </w:cols>
          <w:pgMar w:left="1180" w:top="218" w:right="118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Operations – Ships</w:t>
      </w:r>
    </w:p>
    <w:p>
      <w:pPr>
        <w:spacing w:after="0" w:line="257"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Our shipping assets include Floating Storage and Regasification Units ("FSRUs"), Floating Storage Units ("FSUs") and LNG carriers ("LNGCs"). Our shipping assets are included in both of our operating segments. Certain vessels are currently chartered to third parties under long-term arrangements and are included in the Energos Formation Transaction (defined below); such vessels are included in our Ships segment. At the expiration of third party charters of these vessels, we plan to utilize these vessels for our own operational purposes. Vessels we operate at our terminal operations or that we decide to sub-charter are included in our Terminals and Infrastructure segment.</w:t>
      </w:r>
    </w:p>
    <w:p>
      <w:pPr>
        <w:spacing w:after="0" w:line="208"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19"/>
          <w:szCs w:val="19"/>
          <w:color w:val="auto"/>
        </w:rPr>
        <w:t xml:space="preserve">In August 2022, we completed a transaction (the “Energos Formation Transaction”) with an affiliate of Apollo Global Management, Inc., pursuant to which we transferred ownership of eleven vessels to Energos in exchange for approximately $1.85 billion in cash and a 20% equity interest in Energos. Ten of the vessels were subject to current or future charters with NFE and one vessel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 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Development Projects</w:t>
      </w:r>
    </w:p>
    <w:p>
      <w:pPr>
        <w:spacing w:after="0" w:line="257"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Our projects currently under development include our development of a series of modular liquefaction facilities to provide a source of low-cost supply of LNG to customers around the world through our Fast LNG technologies; our LNG terminal facility and power plant in Puerto Sandino, Nicaragua (“Puerto Sandino Facility”); our LNG terminal (“Ireland Facility”) and power plant in Ireland, our first green hydrogen project ("ZeroPark I") and Klondike Digital Infrastructure, our newly-launched power and data center infrastructure business ("Klondike").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w:t>
      </w:r>
    </w:p>
    <w:p>
      <w:pPr>
        <w:spacing w:after="0" w:line="213" w:lineRule="exact"/>
        <w:rPr>
          <w:sz w:val="20"/>
          <w:szCs w:val="20"/>
          <w:color w:val="auto"/>
        </w:rPr>
      </w:pPr>
    </w:p>
    <w:p>
      <w:pPr>
        <w:ind w:right="360" w:firstLine="360"/>
        <w:spacing w:after="0" w:line="260" w:lineRule="auto"/>
        <w:rPr>
          <w:sz w:val="20"/>
          <w:szCs w:val="20"/>
          <w:color w:val="auto"/>
        </w:rPr>
      </w:pPr>
      <w:r>
        <w:rPr>
          <w:rFonts w:ascii="Times New Roman" w:cs="Times New Roman" w:eastAsia="Times New Roman" w:hAnsi="Times New Roman"/>
          <w:sz w:val="20"/>
          <w:szCs w:val="20"/>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describe each of our current development projects below.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LNG</w:t>
      </w:r>
    </w:p>
    <w:p>
      <w:pPr>
        <w:spacing w:after="0" w:line="259"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first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FSUs will provide LNG storage alongside the floating liquefaction infrastructure, which can be deployed anywhere there is abundant and stranded natural gas. As noted below, we are also in discussions with CFE to utilize our FLNG design in an onshore application.</w:t>
      </w:r>
    </w:p>
    <w:p>
      <w:pPr>
        <w:spacing w:after="0" w:line="213"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20"/>
          <w:szCs w:val="20"/>
          <w:color w:val="auto"/>
        </w:rPr>
        <w:t>Fast LNG is anchored by key benefits over conventional liquefaction projects. In particular, we believe installing modular equipment in a shipyard will meaningfully expedite timelines. In addition, placing solutions offshore provides greater access to natural gas and optimized marine logistics.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We describe our operational and planned FLNG projects below.</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2240" w:h="15840" w:orient="portrait"/>
          <w:cols w:equalWidth="0" w:num="1">
            <w:col w:w="9880"/>
          </w:cols>
          <w:pgMar w:left="1180" w:top="218" w:right="11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Altamira</w:t>
      </w:r>
    </w:p>
    <w:p>
      <w:pPr>
        <w:spacing w:after="0" w:line="2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first Fast LNG unit has been deployed off the coast of Altamira, Tamaulipas, Mexico. The 1.4 million ton per annum (“MTPA”) FLNG unit utilizes CFE’s firm pipeline transportation capacity on the Sur de Texas-Tuxpan Pipeline to receive feedgas volumes. Our first FLNG unit has been installed and connected to the gas pipeline at Altamira, and we are in the process of finalizing commissioning the project. While we experienced delays in commissioning our first FLNG unit, which impacted our results of operations in 2024 and may impact our results in future periods, in July 2024, we began to produce LNG. We have placed this asset into service from an accounting perspective in the fourth quarter of 2024, and we expect to achieve run-rate production in 2025.</w:t>
      </w:r>
    </w:p>
    <w:p>
      <w:pPr>
        <w:spacing w:after="0" w:line="21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expect to deploy up to two 1.4MTPA additional FLNG units onshore at the existing Altamira LNG import facility. The terminal would source also feedgas from the CFE from the Sur de Texas-Tuxpan Pipeline. The Altamira onshore LNG facility is a world class import facility that will be converted to export LNG similar to other gulf coast regasification terminals. Existing infrastructure at the facility includes two 150,000m3 storage tanks, deepwater marine berth and access to local gas and power networks.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Louisiana</w:t>
      </w:r>
    </w:p>
    <w:p>
      <w:pPr>
        <w:spacing w:after="0" w:line="254" w:lineRule="exact"/>
        <w:rPr>
          <w:sz w:val="20"/>
          <w:szCs w:val="20"/>
          <w:color w:val="auto"/>
        </w:rPr>
      </w:pPr>
    </w:p>
    <w:p>
      <w:pPr>
        <w:ind w:right="200" w:firstLine="360"/>
        <w:spacing w:after="0" w:line="258" w:lineRule="auto"/>
        <w:rPr>
          <w:sz w:val="20"/>
          <w:szCs w:val="20"/>
          <w:color w:val="auto"/>
        </w:rPr>
      </w:pPr>
      <w:r>
        <w:rPr>
          <w:rFonts w:ascii="Times New Roman" w:cs="Times New Roman" w:eastAsia="Times New Roman" w:hAnsi="Times New Roman"/>
          <w:sz w:val="20"/>
          <w:szCs w:val="20"/>
          <w:color w:val="auto"/>
        </w:rPr>
        <w:t>In addition, we are considering a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Lakach</w:t>
      </w:r>
    </w:p>
    <w:p>
      <w:pPr>
        <w:spacing w:after="0" w:line="254"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We have been in discussions with Petróleos Mexicanos (“Pemex”) to form a long-term strategic partnership to develop the Lakach deepwater natural gas field for Pemex to supply natural gas to Mexico's onshore domestic market and for NFE to produce LNG for export to global markets. Our initial agreements were terminated in the fourth quarter of 2023, however, NFE continues to be in active discussions with Pemex to develop or monetize an offshore project.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Puerto Sandino Facility</w:t>
      </w:r>
    </w:p>
    <w:p>
      <w:pPr>
        <w:spacing w:after="0" w:line="25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We are developing a liquefied natural gas receiving, transloading and regasification facility in Puerto Sandino, Nicaragua, as well as a pipeline connecting the facility with our Puerto Sandino Power Plant. We have entered into a 25-year PPA with Nicaragua’s electricity distribution companies, and we expect to utilize approximately 57,000 MMBtu from LNG per day to provide natural gas to the Puerto Sandino Power Plant in connection with the 25-year power purchase agreement. Construction of the terminal and power plant is substantially complete; however, we will determine timing of final commissioning and commencement under our PPA based on the most optimal use of our LNG supply chain. As part of our long-term strategy, we are also evaluating solutions to optimize power generation and delivery to other markets, connected to our power plant through a regional transmission line.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Facility</w:t>
      </w:r>
    </w:p>
    <w:p>
      <w:pPr>
        <w:spacing w:after="0" w:line="259"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The Barcarena Facility consists of an FSRU and associated infrastructure, including mooring and offshore and onshore pipelines. The Barcarena Facility is capable of delivering almost 600,000 MMBtu from LNG per day and storing up to 160,000 cubic meters of LNG. We have entered into a 15-year gas supply agreement with a subsidiary of Norsk Hydro ASA for the supply of natural gas to the Alunorte Alumina Refinery in Pará, Brazil, through our Barcarena Facility.</w:t>
      </w:r>
    </w:p>
    <w:p>
      <w:pPr>
        <w:spacing w:after="0" w:line="203"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The Barcarena Facility will also supply our new 630MW combined cycle natural gas-fired power plant to be located in Pará, Brazil (the “Barcarena Power Plant”). The power plant is fully contracted under multiple 25-year power purchase agreements to supply electricity to the national electricity grid. We expect to complete the Barcarena Power Plant in 2025.</w:t>
      </w:r>
    </w:p>
    <w:p>
      <w:pPr>
        <w:spacing w:after="0" w:line="195"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March 2024, we closed the acquisition of PortoCem Geração de Energia S.A. ("PortoCem"), a wholly-owned subsidiary of Ceiba Fundo de Investimento em Participações Multiestratégia- Investimento no Exterior ("Ceiba Energy") in exchange for newly issued 4.8% NFE redeemable Series A Convertible Preferred Stock. PortoCem is the owner of a 15-year 1.6GW capacity reserve contract in Brazil. We have transferred the 1.6 GW capacity reserve contract to a site owned by NFE that is adjacent to the Barcarena Facility, where NFE is building the 1.6 GW simple cycle, natural gas-fired power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2240" w:h="15840" w:orient="portrait"/>
          <w:cols w:equalWidth="0" w:num="1">
            <w:col w:w="9880"/>
          </w:cols>
          <w:pgMar w:left="1180" w:top="218" w:right="11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plant ("PortoCem Power Plant") to supply the capacity reserve contract using gas from the Barcarena Facility. We expect the PortoCem Power Plant to be completed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 Facility</w:t>
      </w:r>
    </w:p>
    <w:p>
      <w:pPr>
        <w:spacing w:after="0" w:line="259"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w:t>
      </w:r>
    </w:p>
    <w:p>
      <w:pPr>
        <w:spacing w:after="0" w:line="203"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In the third quarter of 2023, An Bord Pleanála ("ABP"), Ireland's planning commission, denied our application for the development of an LNG terminal and power plant. We challenged this decision, and in September 2024, the High Court of Ireland ruled that ABP did not have appropriate grounds for the denial of our permit. In November, ABP sought leave to appeal the High Court's decision, the High Court has not yet heard the request to leave appeal. If the leave is not granted, ABP will be directed to reconsider our permit application on accordance with Irish Law. The continued development of this project is uncertain and there are multiple risks, including regulatory risks, that could preclude the development of this project, and the results of these risks could have a material effect on our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ZeroParks</w:t>
      </w:r>
    </w:p>
    <w:p>
      <w:pPr>
        <w:spacing w:after="0" w:line="25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2020, we formed our Zero division to develop and operate facilities that produce clean hydrogen in an 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spacing w:after="0" w:line="20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Additionally, we have secured a binding offtake commitment for the clean hydrogen produced at ZeroPark I. Once completed, we expect ZeroPark I to be the largest green hydrogen plant in the United States.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Klondike</w:t>
      </w:r>
    </w:p>
    <w:p>
      <w:pPr>
        <w:spacing w:after="0" w:line="259"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We recently launched Klondike, a power and data center development business dedicated to working with hyperscale customers to build and operate data centers. This venture comes in response to a significant need for turnkey digital infrastructure to support the next stage of explosive growth in artificial intelligence.</w:t>
      </w:r>
    </w:p>
    <w:p>
      <w:pPr>
        <w:spacing w:after="0" w:line="195"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Klondike will develop independent power sources that utilize and provide behind-the-meter on-site power. This innovative approach is designed to address all major constraints of digital infrastructure development, providing grid stability, significant transmission capacity, power reliability, energy cost savings, and scalability. This approach not only reduces the demand for power from the grid but also contributes power back to it.</w:t>
      </w:r>
    </w:p>
    <w:p>
      <w:pPr>
        <w:spacing w:after="0" w:line="203"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Klondike plans to develop a geographically diverse portfolio of data center sites to satisfy the requirements of hyperscale users. Klondike has more than 1,000 acres of developable land across sites in Brazil, Ireland, and the United States that it either owns or leases. These locations have, or will have, large existing power plants or permits in process to build several gigawatts of power, connectivity to fiber networks, access to transmission and water.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9"/>
          <w:szCs w:val="19"/>
          <w:color w:val="auto"/>
        </w:rPr>
        <w:t>In February 2025, one of our consolidated subsidiaries entered into an agreement to issue up to $350.0 million aggregate principal amount of 15% Senior Secured Notes due 2029 (the “Brazil Financing Notes”) at a purchase price of 97.75% of par. The Brazil Financing Notes bear interest at a rate of 15.0% and mature on August 30, 2029; the principal is due in full on the maturity date. Interest is payable quarterly in arrears beginning on March 30, 2025, and for the first 30 months that</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64</w:t>
      </w:r>
    </w:p>
    <w:p>
      <w:pPr>
        <w:sectPr>
          <w:pgSz w:w="12240" w:h="15840" w:orient="portrait"/>
          <w:cols w:equalWidth="0" w:num="1">
            <w:col w:w="9840"/>
          </w:cols>
          <w:pgMar w:left="1180" w:top="218" w:right="122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Brazil Financing Notes are outstanding, interest due can be paid in kind and added to the principal amount. A portion of the proceeds from the issuance of the Brazil Financing Notes was used to repay the Barcarena Debentures in full.</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March 2025, we entered into an amendment to the Term Loan B Agreement. Pursuant to the amendment, certain lenders agreed to provide incremental term loans in an aggregate principal amount of up to $425.0 million. The incremental term loans are subject to the same terms as the initial Term Loan B, including interest rates and maturity date. Net proceeds will be used primarily to fund capital expenditures of our onshore Fast LNG project at Altamira, and for other corporate expenses. In connection with the amendment, all unused term loan commitments under the Term Loan A Credit Agreement were terminated.</w:t>
      </w:r>
    </w:p>
    <w:p>
      <w:pPr>
        <w:spacing w:after="0" w:line="2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On March 6, 2025, we entered into a Backstop Agreement (the "Backstop Agreement") with a lender, pursuant to which we may, at our sole option, issue and sell to this lender (subject to the satisfaction of certain conditions) senior debt securities up to an aggregate principal amount sufficient to generate gross proceeds of $100.0 million with a term of at least three years from the closing date. Proceeds received would be used to satisfy the repayment of the outstanding borrowings under the Revolving Facility (defined below) required by the reduction of commitments by September 30, 2025. The Backstop Agreement would be terminated in the event that we complete the sale of assets or receives proceeds associated with a contract termination fee sufficient to satisfy such required repayment.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5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On June 18, 2020, we received an order from the Federal Energy Regulatory Commission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 was affirmed by the United States Court of Appeals for the District of Columbia Circuit on June 14, 2022. In order to comply with the FERC’s directive, on September 15, 2021, we filed an application for authorization to operate the San Juan Facility, which remains pending.</w:t>
      </w:r>
    </w:p>
    <w:p>
      <w:pPr>
        <w:spacing w:after="0" w:line="21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w:t>
      </w:r>
    </w:p>
    <w:p>
      <w:pPr>
        <w:spacing w:after="0" w:line="208"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On September 26, 2024, the United States Coast Guard ("USCG") filed a Letter of Recommendation with FERC in which it assessed our Letter of Intent dated April 12, 2024, and our Waterway Suitability Assessment, dated August 26, 2024, in respect of future ship to ship transfers with alternative vessels, and recommended against the allowance of the proposed operations. Further, on September 26, 2024, the USCG issued a Letter of Warning in respect of our ongoing ship to ship transfers of LNG operations within the San Juan port limits. On October 21, 2024, we filed an appeal with the USCG under 33 CFR 160.7. In December 2024 and February 2025, we submitted an updated Letter of Intent and Waterway Suitability Assessments detailing our alternative operational plans to the USCG and are working collaboratively with the USCG to obtain a new Letter of Recommendation to FERC in support of our operations, which we expect to be imminently forthcoming. In concert with our collaboration with the USCG regarding our new operational plans, we withdrew our appeal on February 14, 2025.</w:t>
      </w:r>
    </w:p>
    <w:p>
      <w:pPr>
        <w:spacing w:after="0" w:line="216"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On October 25, 2024, FERC issued a notice of intent to prepare an Environmental Impact Statement, which included, among other things, two public scoping sessions in Puerto Rico held on November 18, 2024 in accordance with the National Environmental Policy Act.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2240" w:h="15840" w:orient="portrait"/>
          <w:cols w:equalWidth="0" w:num="1">
            <w:col w:w="9880"/>
          </w:cols>
          <w:pgMar w:left="1180" w:top="218" w:right="1180" w:bottom="0" w:gutter="0" w:footer="0" w:header="0"/>
          <w:type w:val="continuous"/>
        </w:sectPr>
      </w:pPr>
    </w:p>
    <w:bookmarkStart w:id="68" w:name="page69"/>
    <w:bookmarkEnd w:id="6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Factors Impacting Comparability of Our Financial Results</w:t>
      </w:r>
    </w:p>
    <w:p>
      <w:pPr>
        <w:spacing w:after="0" w:line="257" w:lineRule="exact"/>
        <w:rPr>
          <w:sz w:val="20"/>
          <w:szCs w:val="20"/>
          <w:color w:val="auto"/>
        </w:rPr>
      </w:pPr>
    </w:p>
    <w:p>
      <w:pPr>
        <w:ind w:left="10" w:right="520" w:firstLine="360"/>
        <w:spacing w:after="0" w:line="281" w:lineRule="auto"/>
        <w:rPr>
          <w:sz w:val="20"/>
          <w:szCs w:val="20"/>
          <w:color w:val="auto"/>
        </w:rPr>
      </w:pPr>
      <w:r>
        <w:rPr>
          <w:rFonts w:ascii="Times New Roman" w:cs="Times New Roman" w:eastAsia="Times New Roman" w:hAnsi="Times New Roman"/>
          <w:sz w:val="20"/>
          <w:szCs w:val="20"/>
          <w:color w:val="auto"/>
        </w:rPr>
        <w:t>Our historical results of operations and cash flows are not indicative of results of operations and cash flows to be expected in the future, principally for the following reasons:</w:t>
      </w:r>
    </w:p>
    <w:p>
      <w:pPr>
        <w:spacing w:after="0" w:line="172" w:lineRule="exact"/>
        <w:rPr>
          <w:sz w:val="20"/>
          <w:szCs w:val="20"/>
          <w:color w:val="auto"/>
        </w:rPr>
      </w:pPr>
    </w:p>
    <w:p>
      <w:pPr>
        <w:ind w:left="730" w:right="280" w:hanging="370"/>
        <w:spacing w:after="0" w:line="257" w:lineRule="auto"/>
        <w:tabs>
          <w:tab w:leader="none" w:pos="730" w:val="left"/>
        </w:tabs>
        <w:numPr>
          <w:ilvl w:val="1"/>
          <w:numId w:val="2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Our future results of operations will include the cost of operating our Fast LNG solution that were not included in our historical financial statements. </w:t>
      </w:r>
      <w:r>
        <w:rPr>
          <w:rFonts w:ascii="Times New Roman" w:cs="Times New Roman" w:eastAsia="Times New Roman" w:hAnsi="Times New Roman"/>
          <w:sz w:val="20"/>
          <w:szCs w:val="20"/>
          <w:color w:val="auto"/>
        </w:rPr>
        <w:t>We placed our first Fast LNG project into service from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accounting perspective in the fourth quarter of 2024. This project represents our largest ever capital project and placing the asset into service from an accounting perspective will significantly increase the depreciation recognized in future periods; such depreciation will also impact the cost of LNG delivered from the FLNG facility. We also expect interest expense to increase as we are no longer able to capitalize borrowing costs associated this development.</w:t>
      </w:r>
    </w:p>
    <w:p>
      <w:pPr>
        <w:spacing w:after="0" w:line="205" w:lineRule="exact"/>
        <w:rPr>
          <w:rFonts w:ascii="Times New Roman" w:cs="Times New Roman" w:eastAsia="Times New Roman" w:hAnsi="Times New Roman"/>
          <w:sz w:val="20"/>
          <w:szCs w:val="20"/>
          <w:b w:val="1"/>
          <w:bCs w:val="1"/>
          <w:i w:val="1"/>
          <w:iCs w:val="1"/>
          <w:color w:val="auto"/>
        </w:rPr>
      </w:pPr>
    </w:p>
    <w:p>
      <w:pPr>
        <w:ind w:left="730" w:right="140"/>
        <w:spacing w:after="0" w:line="309"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9"/>
          <w:szCs w:val="19"/>
          <w:color w:val="auto"/>
        </w:rPr>
        <w:t>While the asset is in service from an accounting perspective, we will continue to commission the asset to achieve run rate production. Such costs that enhance the asset will be capitalized on our Consolidated Balance Sheets.</w:t>
      </w:r>
    </w:p>
    <w:p>
      <w:pPr>
        <w:spacing w:after="0" w:line="148" w:lineRule="exact"/>
        <w:rPr>
          <w:rFonts w:ascii="Times New Roman" w:cs="Times New Roman" w:eastAsia="Times New Roman" w:hAnsi="Times New Roman"/>
          <w:sz w:val="20"/>
          <w:szCs w:val="20"/>
          <w:b w:val="1"/>
          <w:bCs w:val="1"/>
          <w:i w:val="1"/>
          <w:iCs w:val="1"/>
          <w:color w:val="auto"/>
        </w:rPr>
      </w:pPr>
    </w:p>
    <w:p>
      <w:pPr>
        <w:ind w:left="730" w:hanging="370"/>
        <w:spacing w:after="0" w:line="256" w:lineRule="auto"/>
        <w:tabs>
          <w:tab w:leader="none" w:pos="730" w:val="left"/>
        </w:tabs>
        <w:numPr>
          <w:ilvl w:val="1"/>
          <w:numId w:val="2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Our historical financial results do not reflect our Fast LNG solution that will lower the cost of our LNG supply. </w:t>
      </w:r>
      <w:r>
        <w:rPr>
          <w:rFonts w:ascii="Times New Roman" w:cs="Times New Roman" w:eastAsia="Times New Roman" w:hAnsi="Times New Roman"/>
          <w:sz w:val="20"/>
          <w:szCs w:val="20"/>
          <w:color w:val="auto"/>
        </w:rPr>
        <w:t>We currently purchase the majority of our supply of LNG from third parties, sourcing approximately 93% of our LNG volumes from third parties for the year ended December 31, 2024. We anticipate that the deployment of Fast LNG liquefaction facilities will significantly lower the cost of our LNG supply and reduce our dependence on third-party suppliers. Though the commissioning of our first Fast LNG unit was delayed from the initially anticipated date, which impacted our results of operations in this period and may impact our results in future periods, we began to produce LNG from our first Fast LNG unit in July 2024. We sold the first full cargo from this facility on September 30, 2024, and we anticipate reaching run rate production in 2025..</w:t>
      </w:r>
    </w:p>
    <w:p>
      <w:pPr>
        <w:spacing w:after="0" w:line="197" w:lineRule="exact"/>
        <w:rPr>
          <w:rFonts w:ascii="Times New Roman" w:cs="Times New Roman" w:eastAsia="Times New Roman" w:hAnsi="Times New Roman"/>
          <w:sz w:val="20"/>
          <w:szCs w:val="20"/>
          <w:b w:val="1"/>
          <w:bCs w:val="1"/>
          <w:i w:val="1"/>
          <w:iCs w:val="1"/>
          <w:color w:val="auto"/>
        </w:rPr>
      </w:pPr>
    </w:p>
    <w:p>
      <w:pPr>
        <w:ind w:left="730" w:right="120" w:hanging="370"/>
        <w:spacing w:after="0" w:line="257" w:lineRule="auto"/>
        <w:tabs>
          <w:tab w:leader="none" w:pos="730" w:val="left"/>
        </w:tabs>
        <w:numPr>
          <w:ilvl w:val="1"/>
          <w:numId w:val="2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Our historical financial results do not include significant projects that have recently been completed or are near completion. </w:t>
      </w:r>
      <w:r>
        <w:rPr>
          <w:rFonts w:ascii="Times New Roman" w:cs="Times New Roman" w:eastAsia="Times New Roman" w:hAnsi="Times New Roman"/>
          <w:sz w:val="20"/>
          <w:szCs w:val="20"/>
          <w:color w:val="auto"/>
        </w:rPr>
        <w:t>Our results of operations for the year ended December 31, 2024 include our Montego Bay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Facility, Old Harbour Facility, San Juan Facility, La Paz Power Plant and certain industrial end-users. We placed the Santa Catarina Facility into service in the fourth quarter of 2024. We have also completed construction of our Barcarena Facility and are in the final stages of commissioning. We are also continuing to develop our Barcarena Power Plant, PortoCem Power Plant, Puerto Sandino Facility and Ireland Facility, and our current results do not include revenue and operating results from these projects.</w:t>
      </w:r>
    </w:p>
    <w:p>
      <w:pPr>
        <w:spacing w:after="0" w:line="205" w:lineRule="exact"/>
        <w:rPr>
          <w:rFonts w:ascii="Times New Roman" w:cs="Times New Roman" w:eastAsia="Times New Roman" w:hAnsi="Times New Roman"/>
          <w:sz w:val="20"/>
          <w:szCs w:val="20"/>
          <w:b w:val="1"/>
          <w:bCs w:val="1"/>
          <w:i w:val="1"/>
          <w:iCs w:val="1"/>
          <w:color w:val="auto"/>
        </w:rPr>
      </w:pPr>
    </w:p>
    <w:p>
      <w:pPr>
        <w:ind w:left="730" w:right="400"/>
        <w:spacing w:after="0" w:line="260"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Additionally, we began to deliver power to the Puerto Rican grid as part of the grid stabilization project in the second quarter of 2023. In the first quarter of 2024, our contract was terminated and assets related to the grid stabilization project were sold to PREPA. Under our new island-wide gas sale agreement with PREPA, we continue to supply gas to these power generation assets.</w:t>
      </w:r>
    </w:p>
    <w:p>
      <w:pPr>
        <w:spacing w:after="0" w:line="194" w:lineRule="exact"/>
        <w:rPr>
          <w:rFonts w:ascii="Times New Roman" w:cs="Times New Roman" w:eastAsia="Times New Roman" w:hAnsi="Times New Roman"/>
          <w:sz w:val="20"/>
          <w:szCs w:val="20"/>
          <w:b w:val="1"/>
          <w:bCs w:val="1"/>
          <w:i w:val="1"/>
          <w:iCs w:val="1"/>
          <w:color w:val="auto"/>
        </w:rPr>
      </w:pPr>
    </w:p>
    <w:p>
      <w:pPr>
        <w:ind w:left="730" w:right="20" w:hanging="730"/>
        <w:spacing w:after="0" w:line="258" w:lineRule="auto"/>
        <w:tabs>
          <w:tab w:leader="none" w:pos="730" w:val="left"/>
        </w:tabs>
        <w:numPr>
          <w:ilvl w:val="0"/>
          <w:numId w:val="2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Our historical financial results include the results from our investments in the common units of Hilli LLC and Energos. </w:t>
      </w:r>
      <w:r>
        <w:rPr>
          <w:rFonts w:ascii="Times New Roman" w:cs="Times New Roman" w:eastAsia="Times New Roman" w:hAnsi="Times New Roman"/>
          <w:sz w:val="20"/>
          <w:szCs w:val="20"/>
          <w:color w:val="auto"/>
        </w:rPr>
        <w:t>On March 15, 2023, we completed a transaction with Golar LNG Limited (“GLNG”) for the sale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investment in the common units of Hilli LLC (“Hilli Common Units”), disponent owner and operator of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Episeyo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through its subsidiary Golar Hilli Corporation, in exchange for approximately 4.1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NFE shares and $100 million in cash (the "Hilli Exchange"). As a result of this transaction, we no longer have any ownership interest in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and their results are no longer included in NFE's results of operations.</w:t>
      </w:r>
    </w:p>
    <w:p>
      <w:pPr>
        <w:spacing w:after="0" w:line="205" w:lineRule="exact"/>
        <w:rPr>
          <w:rFonts w:ascii="Times New Roman" w:cs="Times New Roman" w:eastAsia="Times New Roman" w:hAnsi="Times New Roman"/>
          <w:sz w:val="20"/>
          <w:szCs w:val="20"/>
          <w:b w:val="1"/>
          <w:bCs w:val="1"/>
          <w:i w:val="1"/>
          <w:iCs w:val="1"/>
          <w:color w:val="auto"/>
        </w:rPr>
      </w:pPr>
    </w:p>
    <w:p>
      <w:pPr>
        <w:ind w:left="730" w:right="160"/>
        <w:spacing w:after="0" w:line="266"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 February 2024, the Company completed the sale of substantially all of its stake in Energos for a total consideration of $136.4 million and retaining an investment in Energos valued at $1.0 million. As a result of this transaction, we no longer include the results of Energos in our results of operations.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66</w:t>
      </w:r>
    </w:p>
    <w:p>
      <w:pPr>
        <w:sectPr>
          <w:pgSz w:w="12240" w:h="15840" w:orient="portrait"/>
          <w:cols w:equalWidth="0" w:num="1">
            <w:col w:w="9890"/>
          </w:cols>
          <w:pgMar w:left="1170" w:top="218" w:right="11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0"/>
          <w:szCs w:val="20"/>
          <w:b w:val="1"/>
          <w:bCs w:val="1"/>
          <w:color w:val="auto"/>
        </w:rPr>
        <w:t>Results of Operations – Three Months Ended December 31, 2024 compared to Three Months Ended September 30, 2024 and Year Ended December 31, 2024 compared to Year Ended December 31, 2023</w:t>
      </w:r>
    </w:p>
    <w:p>
      <w:pPr>
        <w:spacing w:after="0" w:line="17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209"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213"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20"/>
          <w:szCs w:val="20"/>
          <w:color w:val="auto"/>
        </w:rPr>
        <w:t>The tables below present our segment information for the three months ended December 31, 2024 and September 30, 2024, and for the year ended December 31, 2024 and December 31, 2023:</w:t>
      </w:r>
    </w:p>
    <w:p>
      <w:pPr>
        <w:spacing w:after="0" w:line="25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Three Months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9"/>
        </w:trPr>
        <w:tc>
          <w:tcPr>
            <w:tcW w:w="282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40"/>
              <w:spacing w:after="0" w:line="26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528,908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571,271</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107,727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678,998</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(1)(2)</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288,398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288,398</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8,219</w:t>
            </w:r>
          </w:p>
        </w:tc>
        <w:tc>
          <w:tcPr>
            <w:tcW w:w="0" w:type="dxa"/>
            <w:vAlign w:val="bottom"/>
          </w:tcPr>
          <w:p>
            <w:pPr>
              <w:spacing w:after="0"/>
              <w:rPr>
                <w:sz w:val="1"/>
                <w:szCs w:val="1"/>
                <w:color w:val="auto"/>
              </w:rPr>
            </w:pPr>
          </w:p>
        </w:tc>
      </w:tr>
      <w:tr>
        <w:trPr>
          <w:trHeight w:val="282"/>
        </w:trPr>
        <w:tc>
          <w:tcPr>
            <w:tcW w:w="282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34,411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34,411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34,411</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206,099</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34,144</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240,243</w:t>
            </w:r>
          </w:p>
        </w:tc>
        <w:tc>
          <w:tcPr>
            <w:tcW w:w="60" w:type="dxa"/>
            <w:vAlign w:val="bottom"/>
          </w:tcPr>
          <w:p>
            <w:pPr>
              <w:spacing w:after="0"/>
              <w:rPr>
                <w:sz w:val="23"/>
                <w:szCs w:val="23"/>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107,727</w:t>
            </w:r>
          </w:p>
        </w:tc>
        <w:tc>
          <w:tcPr>
            <w:tcW w:w="60" w:type="dxa"/>
            <w:vAlign w:val="bottom"/>
          </w:tcPr>
          <w:p>
            <w:pPr>
              <w:spacing w:after="0"/>
              <w:rPr>
                <w:sz w:val="23"/>
                <w:szCs w:val="23"/>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347,970</w:t>
            </w:r>
          </w:p>
        </w:tc>
        <w:tc>
          <w:tcPr>
            <w:tcW w:w="0" w:type="dxa"/>
            <w:vAlign w:val="bottom"/>
          </w:tcPr>
          <w:p>
            <w:pPr>
              <w:spacing w:after="0"/>
              <w:rPr>
                <w:sz w:val="1"/>
                <w:szCs w:val="1"/>
                <w:color w:val="auto"/>
              </w:rPr>
            </w:pPr>
          </w:p>
        </w:tc>
      </w:tr>
      <w:tr>
        <w:trPr>
          <w:trHeight w:val="622"/>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Three Months Ended December 31, 2024</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309,224</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38,746</w:t>
            </w:r>
          </w:p>
        </w:tc>
        <w:tc>
          <w:tcPr>
            <w:tcW w:w="0" w:type="dxa"/>
            <w:vAlign w:val="bottom"/>
          </w:tcPr>
          <w:p>
            <w:pPr>
              <w:spacing w:after="0"/>
              <w:rPr>
                <w:sz w:val="1"/>
                <w:szCs w:val="1"/>
                <w:color w:val="auto"/>
              </w:rPr>
            </w:pPr>
          </w:p>
        </w:tc>
      </w:tr>
      <w:tr>
        <w:trPr>
          <w:trHeight w:val="265"/>
        </w:trPr>
        <w:tc>
          <w:tcPr>
            <w:tcW w:w="482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347,970</w:t>
            </w:r>
          </w:p>
        </w:tc>
        <w:tc>
          <w:tcPr>
            <w:tcW w:w="0" w:type="dxa"/>
            <w:vAlign w:val="bottom"/>
          </w:tcPr>
          <w:p>
            <w:pPr>
              <w:spacing w:after="0"/>
              <w:rPr>
                <w:sz w:val="1"/>
                <w:szCs w:val="1"/>
                <w:color w:val="auto"/>
              </w:rPr>
            </w:pPr>
          </w:p>
        </w:tc>
      </w:tr>
      <w:tr>
        <w:trPr>
          <w:trHeight w:val="622"/>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2024</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17"/>
                <w:szCs w:val="17"/>
                <w:color w:val="auto"/>
              </w:rPr>
            </w:pPr>
          </w:p>
        </w:tc>
        <w:tc>
          <w:tcPr>
            <w:tcW w:w="144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20"/>
              <w:spacing w:after="0" w:line="207"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7"/>
                <w:szCs w:val="17"/>
                <w:color w:val="auto"/>
              </w:rPr>
            </w:pPr>
          </w:p>
        </w:tc>
        <w:tc>
          <w:tcPr>
            <w:tcW w:w="130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7"/>
                <w:szCs w:val="17"/>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9"/>
        </w:trPr>
        <w:tc>
          <w:tcPr>
            <w:tcW w:w="282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40"/>
              <w:spacing w:after="0" w:line="26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482,200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525,262</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42,273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567,535</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(1)(2)</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325,292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325,292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325,292</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0" w:type="dxa"/>
            <w:vAlign w:val="bottom"/>
          </w:tcPr>
          <w:p>
            <w:pPr>
              <w:spacing w:after="0"/>
              <w:rPr>
                <w:sz w:val="1"/>
                <w:szCs w:val="1"/>
                <w:color w:val="auto"/>
              </w:rPr>
            </w:pPr>
          </w:p>
        </w:tc>
      </w:tr>
      <w:tr>
        <w:trPr>
          <w:trHeight w:val="30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32,062</w:t>
            </w:r>
          </w:p>
        </w:tc>
        <w:tc>
          <w:tcPr>
            <w:tcW w:w="0" w:type="dxa"/>
            <w:vAlign w:val="bottom"/>
          </w:tcPr>
          <w:p>
            <w:pPr>
              <w:spacing w:after="0"/>
              <w:rPr>
                <w:sz w:val="1"/>
                <w:szCs w:val="1"/>
                <w:color w:val="auto"/>
              </w:rPr>
            </w:pPr>
          </w:p>
        </w:tc>
      </w:tr>
      <w:tr>
        <w:trPr>
          <w:trHeight w:val="209"/>
        </w:trPr>
        <w:tc>
          <w:tcPr>
            <w:tcW w:w="2820" w:type="dxa"/>
            <w:vAlign w:val="bottom"/>
          </w:tcPr>
          <w:p>
            <w:pPr>
              <w:ind w:left="40"/>
              <w:spacing w:after="0" w:line="209" w:lineRule="exact"/>
              <w:rPr>
                <w:sz w:val="20"/>
                <w:szCs w:val="20"/>
                <w:color w:val="auto"/>
              </w:rPr>
            </w:pPr>
            <w:r>
              <w:rPr>
                <w:rFonts w:ascii="Times New Roman" w:cs="Times New Roman" w:eastAsia="Times New Roman" w:hAnsi="Times New Roman"/>
                <w:sz w:val="20"/>
                <w:szCs w:val="20"/>
                <w:color w:val="auto"/>
              </w:rPr>
              <w:t>Deferred earnings from</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820" w:type="dxa"/>
            <w:vAlign w:val="bottom"/>
          </w:tcPr>
          <w:p>
            <w:pPr>
              <w:ind w:left="40"/>
              <w:spacing w:after="0" w:line="292" w:lineRule="exact"/>
              <w:rPr>
                <w:sz w:val="20"/>
                <w:szCs w:val="20"/>
                <w:color w:val="auto"/>
              </w:rPr>
            </w:pPr>
            <w:r>
              <w:rPr>
                <w:rFonts w:ascii="Times New Roman" w:cs="Times New Roman" w:eastAsia="Times New Roman" w:hAnsi="Times New Roman"/>
                <w:sz w:val="20"/>
                <w:szCs w:val="20"/>
                <w:color w:val="auto"/>
              </w:rPr>
              <w:t>contracted sales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184,846</w:t>
            </w:r>
          </w:p>
        </w:tc>
        <w:tc>
          <w:tcPr>
            <w:tcW w:w="6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34,808</w:t>
            </w:r>
          </w:p>
        </w:tc>
        <w:tc>
          <w:tcPr>
            <w:tcW w:w="6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219,654</w:t>
            </w:r>
          </w:p>
        </w:tc>
        <w:tc>
          <w:tcPr>
            <w:tcW w:w="60" w:type="dxa"/>
            <w:vAlign w:val="bottom"/>
          </w:tcPr>
          <w:p>
            <w:pPr>
              <w:spacing w:after="0"/>
              <w:rPr>
                <w:sz w:val="23"/>
                <w:szCs w:val="23"/>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(17,727)</w:t>
            </w:r>
          </w:p>
        </w:tc>
        <w:tc>
          <w:tcPr>
            <w:tcW w:w="6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201,927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-4100830</wp:posOffset>
            </wp:positionV>
            <wp:extent cx="6311900" cy="968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-2569210</wp:posOffset>
            </wp:positionV>
            <wp:extent cx="6311900" cy="577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-1294765</wp:posOffset>
            </wp:positionV>
            <wp:extent cx="6311900" cy="130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extLst>
                    </a:blip>
                    <a:srcRect/>
                    <a:stretch>
                      <a:fillRect/>
                    </a:stretch>
                  </pic:blipFill>
                  <pic:spPr bwMode="auto">
                    <a:xfrm>
                      <a:off x="0" y="0"/>
                      <a:ext cx="6311900" cy="130175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ectPr>
          <w:pgSz w:w="12240" w:h="15840" w:orient="portrait"/>
          <w:cols w:equalWidth="0" w:num="1">
            <w:col w:w="9900"/>
          </w:cols>
          <w:pgMar w:left="1180" w:top="218" w:right="1160" w:bottom="0" w:gutter="0" w:footer="0" w:header="0"/>
          <w:type w:val="continuous"/>
        </w:sectPr>
      </w:pPr>
    </w:p>
    <w:bookmarkStart w:id="70" w:name="page71"/>
    <w:bookmarkEnd w:id="70"/>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54197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9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26.75pt,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166,563</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35,364</w:t>
            </w:r>
          </w:p>
        </w:tc>
        <w:tc>
          <w:tcPr>
            <w:tcW w:w="0" w:type="dxa"/>
            <w:vAlign w:val="bottom"/>
          </w:tcPr>
          <w:p>
            <w:pPr>
              <w:spacing w:after="0"/>
              <w:rPr>
                <w:sz w:val="1"/>
                <w:szCs w:val="1"/>
                <w:color w:val="auto"/>
              </w:rPr>
            </w:pPr>
          </w:p>
        </w:tc>
      </w:tr>
      <w:tr>
        <w:trPr>
          <w:trHeight w:val="265"/>
        </w:trPr>
        <w:tc>
          <w:tcPr>
            <w:tcW w:w="482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201,927</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Year Ended December 31, 2024</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60" w:type="dxa"/>
            <w:vAlign w:val="bottom"/>
            <w:gridSpan w:val="3"/>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84"/>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1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132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2,044,273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2,214,860</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2,364,860</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(1)(2)</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1,064,667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1,064,667</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1,064,667</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0" w:type="dxa"/>
            <w:vAlign w:val="bottom"/>
          </w:tcPr>
          <w:p>
            <w:pPr>
              <w:spacing w:after="0"/>
              <w:rPr>
                <w:sz w:val="1"/>
                <w:szCs w:val="1"/>
                <w:color w:val="auto"/>
              </w:rPr>
            </w:pPr>
          </w:p>
        </w:tc>
      </w:tr>
      <w:tr>
        <w:trPr>
          <w:trHeight w:val="30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c>
          <w:tcPr>
            <w:tcW w:w="0" w:type="dxa"/>
            <w:vAlign w:val="bottom"/>
          </w:tcPr>
          <w:p>
            <w:pPr>
              <w:spacing w:after="0"/>
              <w:rPr>
                <w:sz w:val="1"/>
                <w:szCs w:val="1"/>
                <w:color w:val="auto"/>
              </w:rPr>
            </w:pPr>
          </w:p>
        </w:tc>
      </w:tr>
      <w:tr>
        <w:trPr>
          <w:trHeight w:val="209"/>
        </w:trPr>
        <w:tc>
          <w:tcPr>
            <w:tcW w:w="2820" w:type="dxa"/>
            <w:vAlign w:val="bottom"/>
          </w:tcPr>
          <w:p>
            <w:pPr>
              <w:ind w:left="40"/>
              <w:spacing w:after="0" w:line="209" w:lineRule="exact"/>
              <w:rPr>
                <w:sz w:val="20"/>
                <w:szCs w:val="20"/>
                <w:color w:val="auto"/>
              </w:rPr>
            </w:pPr>
            <w:r>
              <w:rPr>
                <w:rFonts w:ascii="Times New Roman" w:cs="Times New Roman" w:eastAsia="Times New Roman" w:hAnsi="Times New Roman"/>
                <w:sz w:val="20"/>
                <w:szCs w:val="20"/>
                <w:color w:val="auto"/>
              </w:rPr>
              <w:t>Deferred earnings from</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820" w:type="dxa"/>
            <w:vAlign w:val="bottom"/>
          </w:tcPr>
          <w:p>
            <w:pPr>
              <w:ind w:left="40"/>
              <w:spacing w:after="0" w:line="292" w:lineRule="exact"/>
              <w:rPr>
                <w:sz w:val="20"/>
                <w:szCs w:val="20"/>
                <w:color w:val="auto"/>
              </w:rPr>
            </w:pPr>
            <w:r>
              <w:rPr>
                <w:rFonts w:ascii="Times New Roman" w:cs="Times New Roman" w:eastAsia="Times New Roman" w:hAnsi="Times New Roman"/>
                <w:sz w:val="20"/>
                <w:szCs w:val="20"/>
                <w:color w:val="auto"/>
              </w:rPr>
              <w:t>contracted sales</w:t>
            </w:r>
            <w:r>
              <w:rPr>
                <w:rFonts w:ascii="Times New Roman" w:cs="Times New Roman" w:eastAsia="Times New Roman" w:hAnsi="Times New Roman"/>
                <w:sz w:val="26"/>
                <w:szCs w:val="26"/>
                <w:color w:val="auto"/>
                <w:vertAlign w:val="superscript"/>
              </w:rPr>
              <w:t>(4)</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(150,000)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955,293</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137,215</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1,092,508</w:t>
            </w:r>
          </w:p>
        </w:tc>
        <w:tc>
          <w:tcPr>
            <w:tcW w:w="60" w:type="dxa"/>
            <w:vAlign w:val="bottom"/>
          </w:tcPr>
          <w:p>
            <w:pPr>
              <w:spacing w:after="0"/>
              <w:rPr>
                <w:sz w:val="23"/>
                <w:szCs w:val="23"/>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1,092,508</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930,494</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162,014</w:t>
            </w:r>
          </w:p>
        </w:tc>
        <w:tc>
          <w:tcPr>
            <w:tcW w:w="0" w:type="dxa"/>
            <w:vAlign w:val="bottom"/>
          </w:tcPr>
          <w:p>
            <w:pPr>
              <w:spacing w:after="0"/>
              <w:rPr>
                <w:sz w:val="1"/>
                <w:szCs w:val="1"/>
                <w:color w:val="auto"/>
              </w:rPr>
            </w:pPr>
          </w:p>
        </w:tc>
      </w:tr>
      <w:tr>
        <w:trPr>
          <w:trHeight w:val="265"/>
        </w:trPr>
        <w:tc>
          <w:tcPr>
            <w:tcW w:w="482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1,092,508</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Year Ended December 31, 2023</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60" w:type="dxa"/>
            <w:vAlign w:val="bottom"/>
            <w:gridSpan w:val="3"/>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84"/>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1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132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2,141,085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2,434,690</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(21,394)</w:t>
            </w:r>
          </w:p>
        </w:tc>
        <w:tc>
          <w:tcPr>
            <w:tcW w:w="60" w:type="dxa"/>
            <w:vAlign w:val="bottom"/>
          </w:tcPr>
          <w:p>
            <w:pPr>
              <w:spacing w:after="0"/>
              <w:rPr>
                <w:sz w:val="24"/>
                <w:szCs w:val="24"/>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2,413,296</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(1)(2)</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877,451</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c>
          <w:tcPr>
            <w:tcW w:w="0" w:type="dxa"/>
            <w:vAlign w:val="bottom"/>
          </w:tcPr>
          <w:p>
            <w:pPr>
              <w:spacing w:after="0"/>
              <w:rPr>
                <w:sz w:val="1"/>
                <w:szCs w:val="1"/>
                <w:color w:val="auto"/>
              </w:rPr>
            </w:pPr>
          </w:p>
        </w:tc>
      </w:tr>
      <w:tr>
        <w:trPr>
          <w:trHeight w:val="282"/>
        </w:trPr>
        <w:tc>
          <w:tcPr>
            <w:tcW w:w="282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1,209,472</w:t>
            </w:r>
          </w:p>
        </w:tc>
        <w:tc>
          <w:tcPr>
            <w:tcW w:w="6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242,218</w:t>
            </w:r>
          </w:p>
        </w:tc>
        <w:tc>
          <w:tcPr>
            <w:tcW w:w="6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1,451,690</w:t>
            </w:r>
          </w:p>
        </w:tc>
        <w:tc>
          <w:tcPr>
            <w:tcW w:w="60" w:type="dxa"/>
            <w:vAlign w:val="bottom"/>
          </w:tcPr>
          <w:p>
            <w:pPr>
              <w:spacing w:after="0"/>
              <w:rPr>
                <w:sz w:val="23"/>
                <w:szCs w:val="23"/>
                <w:color w:val="auto"/>
              </w:rPr>
            </w:pPr>
          </w:p>
        </w:tc>
        <w:tc>
          <w:tcPr>
            <w:tcW w:w="5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(128,069)</w:t>
            </w: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1,323,621</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1,136,297</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0" w:type="dxa"/>
            <w:vAlign w:val="bottom"/>
          </w:tcPr>
          <w:p>
            <w:pPr>
              <w:spacing w:after="0"/>
              <w:rPr>
                <w:sz w:val="1"/>
                <w:szCs w:val="1"/>
                <w:color w:val="auto"/>
              </w:rPr>
            </w:pPr>
          </w:p>
        </w:tc>
      </w:tr>
      <w:tr>
        <w:trPr>
          <w:trHeight w:val="265"/>
        </w:trPr>
        <w:tc>
          <w:tcPr>
            <w:tcW w:w="482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1,323,621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-6511290</wp:posOffset>
            </wp:positionV>
            <wp:extent cx="6311900" cy="577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-5228590</wp:posOffset>
            </wp:positionV>
            <wp:extent cx="6311900" cy="130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extLst>
                    </a:blip>
                    <a:srcRect/>
                    <a:stretch>
                      <a:fillRect/>
                    </a:stretch>
                  </pic:blipFill>
                  <pic:spPr bwMode="auto">
                    <a:xfrm>
                      <a:off x="0" y="0"/>
                      <a:ext cx="6311900" cy="13017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-3374390</wp:posOffset>
            </wp:positionV>
            <wp:extent cx="6311900" cy="577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-2091690</wp:posOffset>
            </wp:positionV>
            <wp:extent cx="6311900" cy="968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-570865</wp:posOffset>
            </wp:positionV>
            <wp:extent cx="6311900" cy="577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extLst>
                    </a:blip>
                    <a:srcRect/>
                    <a:stretch>
                      <a:fillRect/>
                    </a:stretch>
                  </pic:blipFill>
                  <pic:spPr bwMode="auto">
                    <a:xfrm>
                      <a:off x="0" y="0"/>
                      <a:ext cx="6311900" cy="5778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70" w:right="60" w:hanging="370"/>
        <w:spacing w:after="0" w:line="243" w:lineRule="auto"/>
        <w:tabs>
          <w:tab w:leader="none" w:pos="370"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in our segment measure only includes realized gains and losses on derivative transactions that are an economic hedge of commodity purchases and sales, and a realized gain of $139.1 million for the year ended December 31, 2023 was recognized as a reduction to Cost of sales in the segment measure. We recognized unrealized losses of $106.4 million on the mark-to-market value of derivative transactions for the year ended December 31, 2023, and these losses reconcile Cost of sales in the segment measure to Cost of sales in the Consolidated Statements of Operations and Comprehensive (Loss) Income. No realized gains or losses were recognized for the year ended December 31, 2024.</w:t>
      </w:r>
    </w:p>
    <w:p>
      <w:pPr>
        <w:spacing w:after="0" w:line="220" w:lineRule="exact"/>
        <w:rPr>
          <w:rFonts w:ascii="Times New Roman" w:cs="Times New Roman" w:eastAsia="Times New Roman" w:hAnsi="Times New Roman"/>
          <w:sz w:val="26"/>
          <w:szCs w:val="26"/>
          <w:color w:val="auto"/>
          <w:vertAlign w:val="superscript"/>
        </w:rPr>
      </w:pPr>
    </w:p>
    <w:p>
      <w:pPr>
        <w:ind w:left="370" w:right="60"/>
        <w:spacing w:after="0" w:line="309"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9"/>
          <w:szCs w:val="19"/>
          <w:color w:val="auto"/>
        </w:rPr>
        <w:t>We have excluded contract acquisition costs that do not meet the criteria for capitalization from the segment measure. Contract acquisition costs of $6.2 million for the year ended December 31, 2023 reconcile Cost of sales in the segment</w:t>
      </w:r>
    </w:p>
    <w:p>
      <w:pPr>
        <w:sectPr>
          <w:pgSz w:w="12240" w:h="15840" w:orient="portrait"/>
          <w:cols w:equalWidth="0" w:num="1">
            <w:col w:w="9910"/>
          </w:cols>
          <w:pgMar w:left="1170" w:top="218" w:right="1160" w:bottom="0" w:gutter="0" w:footer="0" w:header="0"/>
        </w:sectPr>
      </w:pPr>
    </w:p>
    <w:p>
      <w:pPr>
        <w:spacing w:after="0" w:line="33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68</w:t>
      </w:r>
    </w:p>
    <w:p>
      <w:pPr>
        <w:sectPr>
          <w:pgSz w:w="12240" w:h="15840" w:orient="portrait"/>
          <w:cols w:equalWidth="0" w:num="1">
            <w:col w:w="9910"/>
          </w:cols>
          <w:pgMar w:left="1170" w:top="218" w:right="1160" w:bottom="0" w:gutter="0" w:footer="0" w:header="0"/>
          <w:type w:val="continuous"/>
        </w:sectPr>
      </w:pPr>
    </w:p>
    <w:bookmarkStart w:id="71" w:name="page72"/>
    <w:bookmarkEnd w:id="71"/>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370" w:right="100"/>
        <w:spacing w:after="0" w:line="281" w:lineRule="auto"/>
        <w:rPr>
          <w:sz w:val="20"/>
          <w:szCs w:val="20"/>
          <w:color w:val="auto"/>
        </w:rPr>
      </w:pPr>
      <w:r>
        <w:rPr>
          <w:rFonts w:ascii="Times New Roman" w:cs="Times New Roman" w:eastAsia="Times New Roman" w:hAnsi="Times New Roman"/>
          <w:sz w:val="20"/>
          <w:szCs w:val="20"/>
          <w:color w:val="auto"/>
        </w:rPr>
        <w:t>measure to Cost of sales in the Consolidated Statements of Operations and Comprehensive (Loss) Income. We did not incur such costs in the year ended December 31, 2024.</w:t>
      </w:r>
    </w:p>
    <w:p>
      <w:pPr>
        <w:spacing w:after="0" w:line="181" w:lineRule="exact"/>
        <w:rPr>
          <w:sz w:val="20"/>
          <w:szCs w:val="20"/>
          <w:color w:val="auto"/>
        </w:rPr>
      </w:pPr>
    </w:p>
    <w:p>
      <w:pPr>
        <w:ind w:left="370" w:right="100" w:hanging="370"/>
        <w:spacing w:after="0" w:line="226" w:lineRule="auto"/>
        <w:tabs>
          <w:tab w:leader="none" w:pos="370"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is presented exclusive of costs included in Depreciation and amortization in the Consolidated Statements of Operations and Comprehensive (Loss) Income.</w:t>
      </w:r>
    </w:p>
    <w:p>
      <w:pPr>
        <w:spacing w:after="0" w:line="221" w:lineRule="exact"/>
        <w:rPr>
          <w:rFonts w:ascii="Times New Roman" w:cs="Times New Roman" w:eastAsia="Times New Roman" w:hAnsi="Times New Roman"/>
          <w:sz w:val="26"/>
          <w:szCs w:val="26"/>
          <w:color w:val="auto"/>
          <w:vertAlign w:val="superscript"/>
        </w:rPr>
      </w:pPr>
    </w:p>
    <w:p>
      <w:pPr>
        <w:ind w:left="370" w:right="300" w:hanging="370"/>
        <w:spacing w:after="0" w:line="226" w:lineRule="auto"/>
        <w:tabs>
          <w:tab w:leader="none" w:pos="370"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2024, Consolidation and Other adjusts for the inclusion of deferred earnings from contracted sales of $150.0 million which were recognized during the third and fourth quarters of 2024.</w:t>
      </w:r>
    </w:p>
    <w:p>
      <w:pPr>
        <w:spacing w:after="0" w:line="221" w:lineRule="exact"/>
        <w:rPr>
          <w:rFonts w:ascii="Times New Roman" w:cs="Times New Roman" w:eastAsia="Times New Roman" w:hAnsi="Times New Roman"/>
          <w:sz w:val="26"/>
          <w:szCs w:val="26"/>
          <w:color w:val="auto"/>
          <w:vertAlign w:val="superscript"/>
        </w:rPr>
      </w:pPr>
    </w:p>
    <w:p>
      <w:pPr>
        <w:ind w:left="370" w:right="140"/>
        <w:spacing w:after="0" w:line="26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2023, the effective share of revenues, expenses and operating margin attributable to our ownership of the common units of Hilli LLC were included in the segment measure prior to the disposition of this investment. Unrealized mark-to-market gains or losses on derivative instruments and the exclusion of non-capitalizable contract acquisition costs were also removed.</w:t>
      </w:r>
    </w:p>
    <w:p>
      <w:pPr>
        <w:spacing w:after="0" w:line="203" w:lineRule="exact"/>
        <w:rPr>
          <w:rFonts w:ascii="Times New Roman" w:cs="Times New Roman" w:eastAsia="Times New Roman" w:hAnsi="Times New Roman"/>
          <w:sz w:val="26"/>
          <w:szCs w:val="26"/>
          <w:color w:val="auto"/>
          <w:vertAlign w:val="superscript"/>
        </w:rPr>
      </w:pPr>
    </w:p>
    <w:p>
      <w:pPr>
        <w:ind w:left="370" w:right="140" w:hanging="370"/>
        <w:spacing w:after="0" w:line="247" w:lineRule="auto"/>
        <w:tabs>
          <w:tab w:leader="none" w:pos="37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Deferred earnings from contracted sales represent forward sales transactions that were contracted in the second and third quarters of 2024 and prepayment for these sales was received. Revenue has been recognized in the Consolidated Statements of Operations and Comprehensive (Loss) Income during the third and fourth quarters of 2024.</w:t>
      </w:r>
    </w:p>
    <w:p>
      <w:pPr>
        <w:spacing w:after="0" w:line="214" w:lineRule="exact"/>
        <w:rPr>
          <w:rFonts w:ascii="Times New Roman" w:cs="Times New Roman" w:eastAsia="Times New Roman" w:hAnsi="Times New Roman"/>
          <w:sz w:val="25"/>
          <w:szCs w:val="25"/>
          <w:color w:val="auto"/>
          <w:vertAlign w:val="superscript"/>
        </w:rPr>
      </w:pPr>
    </w:p>
    <w:p>
      <w:pPr>
        <w:ind w:left="370" w:right="120" w:hanging="370"/>
        <w:spacing w:after="0" w:line="226" w:lineRule="auto"/>
        <w:tabs>
          <w:tab w:leader="none" w:pos="370"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Operations and maintenance and Vessel operating expenses are directly attributable to revenue-producing activities of our terminals and vessels and are included in the calculation of Gross margin as defined under GAAP.</w:t>
      </w:r>
    </w:p>
    <w:p>
      <w:pPr>
        <w:spacing w:after="0" w:line="2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auto"/>
        </w:rPr>
        <w:t>Terminals and Infrastructure Segment</w:t>
      </w:r>
    </w:p>
    <w:p>
      <w:pPr>
        <w:spacing w:after="0" w:line="327" w:lineRule="exact"/>
        <w:rPr>
          <w:sz w:val="20"/>
          <w:szCs w:val="20"/>
          <w:color w:val="auto"/>
        </w:rPr>
      </w:pPr>
    </w:p>
    <w:p>
      <w:pPr>
        <w:ind w:left="711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9"/>
                <w:szCs w:val="19"/>
                <w:color w:val="auto"/>
              </w:rPr>
            </w:pPr>
          </w:p>
        </w:tc>
        <w:tc>
          <w:tcPr>
            <w:tcW w:w="10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September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31, 2024</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30, 2024</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528,908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482,200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46,708</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(36,894)</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w:t>
            </w:r>
          </w:p>
        </w:tc>
        <w:tc>
          <w:tcPr>
            <w:tcW w:w="0" w:type="dxa"/>
            <w:vAlign w:val="bottom"/>
          </w:tcPr>
          <w:p>
            <w:pPr>
              <w:spacing w:after="0"/>
              <w:rPr>
                <w:sz w:val="1"/>
                <w:szCs w:val="1"/>
                <w:color w:val="auto"/>
              </w:rPr>
            </w:pP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earnings from contracted sales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0" w:type="dxa"/>
            <w:vAlign w:val="bottom"/>
          </w:tcPr>
          <w:p>
            <w:pPr>
              <w:spacing w:after="0"/>
              <w:rPr>
                <w:sz w:val="1"/>
                <w:szCs w:val="1"/>
                <w:color w:val="auto"/>
              </w:rPr>
            </w:pPr>
          </w:p>
        </w:tc>
      </w:tr>
      <w:tr>
        <w:trPr>
          <w:trHeight w:val="26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206,099</w:t>
            </w:r>
          </w:p>
        </w:tc>
        <w:tc>
          <w:tcPr>
            <w:tcW w:w="60" w:type="dxa"/>
            <w:vAlign w:val="bottom"/>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184,846</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21,253</w:t>
            </w:r>
          </w:p>
        </w:tc>
        <w:tc>
          <w:tcPr>
            <w:tcW w:w="0" w:type="dxa"/>
            <w:vAlign w:val="bottom"/>
          </w:tcPr>
          <w:p>
            <w:pPr>
              <w:spacing w:after="0"/>
              <w:rPr>
                <w:sz w:val="1"/>
                <w:szCs w:val="1"/>
                <w:color w:val="auto"/>
              </w:rPr>
            </w:pPr>
          </w:p>
        </w:tc>
      </w:tr>
      <w:tr>
        <w:trPr>
          <w:trHeight w:val="605"/>
        </w:trPr>
        <w:tc>
          <w:tcPr>
            <w:tcW w:w="6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40" w:type="dxa"/>
            <w:vAlign w:val="bottom"/>
          </w:tcPr>
          <w:p>
            <w:pPr>
              <w:jc w:val="center"/>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31, 2024</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31, 2023</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2,044,273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2,141,085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(96,812)</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1,064,667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299,839</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7,528</w:t>
            </w:r>
          </w:p>
        </w:tc>
        <w:tc>
          <w:tcPr>
            <w:tcW w:w="0" w:type="dxa"/>
            <w:vAlign w:val="bottom"/>
          </w:tcPr>
          <w:p>
            <w:pPr>
              <w:spacing w:after="0"/>
              <w:rPr>
                <w:sz w:val="1"/>
                <w:szCs w:val="1"/>
                <w:color w:val="auto"/>
              </w:rPr>
            </w:pP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earnings from contracted sales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0" w:type="dxa"/>
            <w:vAlign w:val="bottom"/>
          </w:tcPr>
          <w:p>
            <w:pPr>
              <w:spacing w:after="0"/>
              <w:rPr>
                <w:sz w:val="1"/>
                <w:szCs w:val="1"/>
                <w:color w:val="auto"/>
              </w:rPr>
            </w:pPr>
          </w:p>
        </w:tc>
      </w:tr>
      <w:tr>
        <w:trPr>
          <w:trHeight w:val="26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955,293</w:t>
            </w:r>
          </w:p>
        </w:tc>
        <w:tc>
          <w:tcPr>
            <w:tcW w:w="60" w:type="dxa"/>
            <w:vAlign w:val="bottom"/>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1,209,472</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(254,179)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-2615565</wp:posOffset>
            </wp:positionV>
            <wp:extent cx="6311900" cy="968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-961390</wp:posOffset>
            </wp:positionV>
            <wp:extent cx="6311900" cy="968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extLst>
                    </a:blip>
                    <a:srcRect/>
                    <a:stretch>
                      <a:fillRect/>
                    </a:stretch>
                  </pic:blipFill>
                  <pic:spPr bwMode="auto">
                    <a:xfrm>
                      <a:off x="0" y="0"/>
                      <a:ext cx="6311900" cy="968375"/>
                    </a:xfrm>
                    <a:prstGeom prst="rect">
                      <a:avLst/>
                    </a:prstGeom>
                    <a:noFill/>
                  </pic:spPr>
                </pic:pic>
              </a:graphicData>
            </a:graphic>
          </wp:anchor>
        </w:drawing>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4" w:lineRule="exact"/>
        <w:rPr>
          <w:sz w:val="20"/>
          <w:szCs w:val="20"/>
          <w:color w:val="auto"/>
        </w:rPr>
      </w:pPr>
    </w:p>
    <w:p>
      <w:pPr>
        <w:ind w:left="10" w:right="420" w:firstLine="360"/>
        <w:spacing w:after="0" w:line="260" w:lineRule="auto"/>
        <w:rPr>
          <w:sz w:val="20"/>
          <w:szCs w:val="20"/>
          <w:color w:val="auto"/>
        </w:rPr>
      </w:pPr>
      <w:r>
        <w:rPr>
          <w:rFonts w:ascii="Times New Roman" w:cs="Times New Roman" w:eastAsia="Times New Roman" w:hAnsi="Times New Roman"/>
          <w:sz w:val="20"/>
          <w:szCs w:val="20"/>
          <w:color w:val="auto"/>
        </w:rPr>
        <w:t>Total revenue for the Terminals and Infrastructure Segment increased by $46.7 million for the three months ended December 31, 2024 as compared to the three months ended September 30, 2024. The increase was primarily driven by income from the novation of an LNG supply contract during the fourth quarter of 2024 and higher Henry Hub index pricing, offset by lower volumes delivered and cargo sales.</w:t>
      </w:r>
    </w:p>
    <w:p>
      <w:pPr>
        <w:spacing w:after="0" w:line="203" w:lineRule="exact"/>
        <w:rPr>
          <w:sz w:val="20"/>
          <w:szCs w:val="20"/>
          <w:color w:val="auto"/>
        </w:rPr>
      </w:pPr>
    </w:p>
    <w:p>
      <w:pPr>
        <w:ind w:left="730" w:right="40" w:hanging="370"/>
        <w:spacing w:after="0" w:line="309" w:lineRule="auto"/>
        <w:tabs>
          <w:tab w:leader="none" w:pos="73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novated an LNG supply contract to a customer, recognizing $235.6 million within segment revenue in the fourth quarter. NFE recognized $60.0 million of deferred earnings from contracted sales with this customer</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69</w:t>
      </w:r>
    </w:p>
    <w:p>
      <w:pPr>
        <w:sectPr>
          <w:pgSz w:w="12240" w:h="15840" w:orient="portrait"/>
          <w:cols w:equalWidth="0" w:num="1">
            <w:col w:w="9910"/>
          </w:cols>
          <w:pgMar w:left="1170" w:top="218" w:right="116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right="260"/>
        <w:spacing w:after="0" w:line="281" w:lineRule="auto"/>
        <w:rPr>
          <w:sz w:val="20"/>
          <w:szCs w:val="20"/>
          <w:color w:val="auto"/>
        </w:rPr>
      </w:pPr>
      <w:r>
        <w:rPr>
          <w:rFonts w:ascii="Times New Roman" w:cs="Times New Roman" w:eastAsia="Times New Roman" w:hAnsi="Times New Roman"/>
          <w:sz w:val="20"/>
          <w:szCs w:val="20"/>
          <w:color w:val="auto"/>
        </w:rPr>
        <w:t>in the third quarter of 2024, and this prepayment is included in the reconciliation between segment revenue and consolidated revenue recognized.</w:t>
      </w:r>
    </w:p>
    <w:p>
      <w:pPr>
        <w:spacing w:after="0" w:line="181" w:lineRule="exact"/>
        <w:rPr>
          <w:sz w:val="20"/>
          <w:szCs w:val="20"/>
          <w:color w:val="auto"/>
        </w:rPr>
      </w:pPr>
    </w:p>
    <w:p>
      <w:pPr>
        <w:ind w:left="720" w:right="18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Henry Hub index pricing used to invoice our downstream customers increased by 29% for the three months ended December 31, 2024 as compared to the three months ended September 30, 2024.</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Volumes delivered to downstream terminal customers decreased from 20.7 TBtu in the third quarter of 2024 to</w:t>
      </w:r>
    </w:p>
    <w:p>
      <w:pPr>
        <w:spacing w:after="0" w:line="30" w:lineRule="exact"/>
        <w:rPr>
          <w:rFonts w:ascii="Times New Roman" w:cs="Times New Roman" w:eastAsia="Times New Roman" w:hAnsi="Times New Roman"/>
          <w:sz w:val="20"/>
          <w:szCs w:val="20"/>
          <w:color w:val="auto"/>
        </w:rPr>
      </w:pPr>
    </w:p>
    <w:p>
      <w:pPr>
        <w:ind w:left="72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18.4 TBtu in the fourth quarter of 2024. The decrease was due to vessel maintenance in our LNG supply chain that briefly deferred deliveries to our customers.</w:t>
      </w:r>
    </w:p>
    <w:p>
      <w:pPr>
        <w:spacing w:after="0" w:line="201" w:lineRule="exact"/>
        <w:rPr>
          <w:rFonts w:ascii="Times New Roman" w:cs="Times New Roman" w:eastAsia="Times New Roman" w:hAnsi="Times New Roman"/>
          <w:sz w:val="20"/>
          <w:szCs w:val="20"/>
          <w:color w:val="auto"/>
        </w:rPr>
      </w:pPr>
    </w:p>
    <w:p>
      <w:pPr>
        <w:ind w:left="720" w:right="10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recognized from cargo sales decreased during the three months ended December 31, 2024 to $91.9 million from $174.5 million during three months ended September 30, 2024.</w:t>
      </w:r>
    </w:p>
    <w:p>
      <w:pPr>
        <w:spacing w:after="0" w:line="181" w:lineRule="exact"/>
        <w:rPr>
          <w:rFonts w:ascii="Times New Roman" w:cs="Times New Roman" w:eastAsia="Times New Roman" w:hAnsi="Times New Roman"/>
          <w:sz w:val="20"/>
          <w:szCs w:val="20"/>
          <w:color w:val="auto"/>
        </w:rPr>
      </w:pPr>
    </w:p>
    <w:p>
      <w:pPr>
        <w:ind w:left="720" w:right="20" w:hanging="370"/>
        <w:spacing w:after="0" w:line="258"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second and third quarters of 2024, we recognized an estimate of the incentive fees that we expected to earn under our contract with Genera. In the first quarter of 2025, we modified our agreement with Genera to remove all future incentive payments in exchange for a payment of $110.0 million. The subsequent modification of the agreement required us to evaluate the incentive fees recognized in 2024, and we recognized a reversal of $57.0 million of revenue that was recognized earlier in 2024.</w:t>
      </w:r>
    </w:p>
    <w:p>
      <w:pPr>
        <w:spacing w:after="0" w:line="204" w:lineRule="exact"/>
        <w:rPr>
          <w:sz w:val="20"/>
          <w:szCs w:val="20"/>
          <w:color w:val="auto"/>
        </w:rPr>
      </w:pPr>
    </w:p>
    <w:p>
      <w:pPr>
        <w:ind w:right="80" w:firstLine="360"/>
        <w:spacing w:after="0" w:line="309" w:lineRule="auto"/>
        <w:rPr>
          <w:sz w:val="20"/>
          <w:szCs w:val="20"/>
          <w:color w:val="auto"/>
        </w:rPr>
      </w:pPr>
      <w:r>
        <w:rPr>
          <w:rFonts w:ascii="Times New Roman" w:cs="Times New Roman" w:eastAsia="Times New Roman" w:hAnsi="Times New Roman"/>
          <w:sz w:val="19"/>
          <w:szCs w:val="19"/>
          <w:color w:val="auto"/>
        </w:rPr>
        <w:t>Total revenue for the Terminals and Infrastructure Segment decreased by $96.8 million for the year ended December 31, 2024 as compared to the year ended December 31, 2023, and segment revenue was impacted by the following in 2024:</w:t>
      </w:r>
    </w:p>
    <w:p>
      <w:pPr>
        <w:spacing w:after="0" w:line="157" w:lineRule="exact"/>
        <w:rPr>
          <w:sz w:val="20"/>
          <w:szCs w:val="20"/>
          <w:color w:val="auto"/>
        </w:rPr>
      </w:pPr>
    </w:p>
    <w:p>
      <w:pPr>
        <w:ind w:left="720" w:right="40" w:hanging="37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2024, volumes delivered to downstream customers were 81.3 TBtu as compared to 68.3 TBtu for the year ended December 31, 2023. We placed the La Paz Power Plant into service during the third quarter of 2023, and recorded a full year of revenue during 2024 compared to two quarters of revenue during 2023.</w:t>
      </w:r>
    </w:p>
    <w:p>
      <w:pPr>
        <w:spacing w:after="0" w:line="203" w:lineRule="exact"/>
        <w:rPr>
          <w:rFonts w:ascii="Times New Roman" w:cs="Times New Roman" w:eastAsia="Times New Roman" w:hAnsi="Times New Roman"/>
          <w:sz w:val="20"/>
          <w:szCs w:val="20"/>
          <w:color w:val="auto"/>
        </w:rPr>
      </w:pPr>
    </w:p>
    <w:p>
      <w:pPr>
        <w:ind w:left="720" w:right="460" w:hanging="37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2024, we recognized $235.6 million of income within segment revenue from the novation of an LNG supply contract.</w:t>
      </w:r>
    </w:p>
    <w:p>
      <w:pPr>
        <w:spacing w:after="0" w:line="181" w:lineRule="exact"/>
        <w:rPr>
          <w:rFonts w:ascii="Times New Roman" w:cs="Times New Roman" w:eastAsia="Times New Roman" w:hAnsi="Times New Roman"/>
          <w:sz w:val="20"/>
          <w:szCs w:val="20"/>
          <w:color w:val="auto"/>
        </w:rPr>
      </w:pPr>
    </w:p>
    <w:p>
      <w:pPr>
        <w:ind w:left="720" w:right="160" w:hanging="370"/>
        <w:spacing w:after="0" w:line="25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Starting in the third quarter of 2023, Genera, began to provide operations and maintenance services to PREPA's thermal generation assets, and cost to provide these services is included in Cost of sales. Under our contract with PREPA, we pass all of these costs onto PREPA, and such billings are recognized as revenue. The Company provided full year of operations and maintenance services during 2024 compared to six months of services in 2023.</w:t>
      </w:r>
    </w:p>
    <w:p>
      <w:pPr>
        <w:spacing w:after="0" w:line="204"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Although we recognized the contract novation income and delivered significantly higher volumes in the current year, our revenue was impacted by lower Henry Hub pricing and lower cargo sale revenue.</w:t>
      </w:r>
    </w:p>
    <w:p>
      <w:pPr>
        <w:spacing w:after="0" w:line="182" w:lineRule="exact"/>
        <w:rPr>
          <w:sz w:val="20"/>
          <w:szCs w:val="20"/>
          <w:color w:val="auto"/>
        </w:rPr>
      </w:pPr>
    </w:p>
    <w:p>
      <w:pPr>
        <w:ind w:left="720" w:right="200" w:hanging="370"/>
        <w:spacing w:after="0" w:line="281" w:lineRule="auto"/>
        <w:tabs>
          <w:tab w:leader="none" w:pos="720" w:val="left"/>
        </w:tabs>
        <w:numPr>
          <w:ilvl w:val="0"/>
          <w:numId w:val="3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average Henry Hub index pricing used to invoice our downstream customers decreased by 17% for the year ended December 31, 2024 as compared to the year ended December 31, 2023.</w:t>
      </w:r>
    </w:p>
    <w:p>
      <w:pPr>
        <w:spacing w:after="0" w:line="181" w:lineRule="exact"/>
        <w:rPr>
          <w:rFonts w:ascii="Times New Roman" w:cs="Times New Roman" w:eastAsia="Times New Roman" w:hAnsi="Times New Roman"/>
          <w:sz w:val="20"/>
          <w:szCs w:val="20"/>
          <w:b w:val="1"/>
          <w:bCs w:val="1"/>
          <w:i w:val="1"/>
          <w:iCs w:val="1"/>
          <w:color w:val="auto"/>
        </w:rPr>
      </w:pPr>
    </w:p>
    <w:p>
      <w:pPr>
        <w:jc w:val="both"/>
        <w:ind w:left="720" w:right="40" w:hanging="370"/>
        <w:spacing w:after="0" w:line="309" w:lineRule="auto"/>
        <w:tabs>
          <w:tab w:leader="none" w:pos="72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had $291.0 million in cargo sales for the year ended December 31, 2024. Revenue from cargo sales was $618.5 million for the year ended December 31, 2023, which included $332.0 million of contract settlements.</w:t>
      </w:r>
    </w:p>
    <w:p>
      <w:pPr>
        <w:spacing w:after="0" w:line="157" w:lineRule="exact"/>
        <w:rPr>
          <w:rFonts w:ascii="Times New Roman" w:cs="Times New Roman" w:eastAsia="Times New Roman" w:hAnsi="Times New Roman"/>
          <w:sz w:val="19"/>
          <w:szCs w:val="19"/>
          <w:color w:val="auto"/>
        </w:rPr>
      </w:pPr>
    </w:p>
    <w:p>
      <w:pPr>
        <w:ind w:left="720" w:right="60" w:hanging="370"/>
        <w:spacing w:after="0" w:line="260" w:lineRule="auto"/>
        <w:tabs>
          <w:tab w:leader="none" w:pos="720" w:val="left"/>
        </w:tabs>
        <w:numPr>
          <w:ilvl w:val="0"/>
          <w:numId w:val="3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 2023, we began to support the grid stabilization project in Puerto Rico, commissioning power generation assets in the second and third quarters of 2023. Our customer terminated the grid stabilization project in the first quarter of 2024, resulting in lower revenue from the project in 2024. However, we continue to sell volumes into these power plants under a new island-wide gas sale agreement signed with PREPA.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54" w:lineRule="exact"/>
        <w:rPr>
          <w:sz w:val="20"/>
          <w:szCs w:val="20"/>
          <w:color w:val="auto"/>
        </w:rPr>
      </w:pPr>
    </w:p>
    <w:p>
      <w:pPr>
        <w:ind w:right="200" w:firstLine="360"/>
        <w:spacing w:after="0" w:line="272" w:lineRule="auto"/>
        <w:rPr>
          <w:sz w:val="20"/>
          <w:szCs w:val="20"/>
          <w:color w:val="auto"/>
        </w:rPr>
      </w:pPr>
      <w:r>
        <w:rPr>
          <w:rFonts w:ascii="Times New Roman" w:cs="Times New Roman" w:eastAsia="Times New Roman" w:hAnsi="Times New Roman"/>
          <w:sz w:val="19"/>
          <w:szCs w:val="19"/>
          <w:color w:val="auto"/>
        </w:rPr>
        <w:t>Cost of sales includes the procurement of feed gas or LNG, as well as shipping and logistics costs to deliver LNG or natural gas to our facilities. Historically, our LNG and natural gas supply has been purchased from third parties or converted in our Miami Facility. Following the sale of our Miami Facility, we continue sourcing LNG from third parties and we expect a portion of our supply to be generated by our first FLNG unit. Costs to convert natural gas to LNG, including labor, depreciation and other direct costs to operate our liquefaction facilities are also included in Cost of sales. Starting in the third quarter of 2023, our subsidiary, Genera, began to provide operations and maintenance services to</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2240" w:h="15840" w:orient="portrait"/>
          <w:cols w:equalWidth="0" w:num="1">
            <w:col w:w="9880"/>
          </w:cols>
          <w:pgMar w:left="1180" w:top="218" w:right="11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PREPA's thermal generation assets, and cost to provide these services is included in Cost of sales. Under our contract with PREPA, we pass all of these costs onto PREPA, and such billings are recognized as revenue.</w:t>
      </w:r>
    </w:p>
    <w:p>
      <w:pPr>
        <w:spacing w:after="0" w:line="181"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20"/>
          <w:szCs w:val="20"/>
          <w:color w:val="auto"/>
        </w:rPr>
        <w:t>Cost of sales decreased $36.9 million for the three months ended December 31, 2024 as compared to the three months ended September 30, 2024.</w:t>
      </w:r>
    </w:p>
    <w:p>
      <w:pPr>
        <w:spacing w:after="0" w:line="181" w:lineRule="exact"/>
        <w:rPr>
          <w:sz w:val="20"/>
          <w:szCs w:val="20"/>
          <w:color w:val="auto"/>
        </w:rPr>
      </w:pPr>
    </w:p>
    <w:p>
      <w:pPr>
        <w:ind w:left="720" w:right="340" w:hanging="370"/>
        <w:spacing w:after="0" w:line="260"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delivered 11% lower volumes to our customers in the fourth quarter. Our cost of LNG to supply our downstream customers increased by $8.6 million during the three months ended December 31, 2024, due to higher cost of gas purchased at $8.75 per MMBtu for the three months ended December 31, 2024 compared to $6.65 per MMBtu for the three months ended September 30, 2024.</w:t>
      </w:r>
    </w:p>
    <w:p>
      <w:pPr>
        <w:spacing w:after="0" w:line="203" w:lineRule="exact"/>
        <w:rPr>
          <w:rFonts w:ascii="Times New Roman" w:cs="Times New Roman" w:eastAsia="Times New Roman" w:hAnsi="Times New Roman"/>
          <w:sz w:val="20"/>
          <w:szCs w:val="20"/>
          <w:color w:val="auto"/>
        </w:rPr>
      </w:pPr>
    </w:p>
    <w:p>
      <w:pPr>
        <w:ind w:left="720" w:right="220" w:hanging="370"/>
        <w:spacing w:after="0" w:line="266"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higher cost of LNG to deliver to downstream customers was partially offset by lower cost of selling cargos. We incurred $35.6 million less cost of selling cargos during the fourth quarter of 2024 compared to the third quarter of 2024.</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Cost of sales increased by $299.8 million for the year ended December 31, 2024 as compared to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which was attributable to the following activity:</w:t>
      </w:r>
    </w:p>
    <w:p>
      <w:pPr>
        <w:spacing w:after="0" w:line="230" w:lineRule="exact"/>
        <w:rPr>
          <w:sz w:val="20"/>
          <w:szCs w:val="20"/>
          <w:color w:val="auto"/>
        </w:rPr>
      </w:pPr>
    </w:p>
    <w:p>
      <w:pPr>
        <w:ind w:left="720" w:right="40" w:hanging="370"/>
        <w:spacing w:after="0" w:line="258"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incurred increased cost of LNG to supply our downstream customers of $64.5 million during the year ended December 31, 2024 due to increased volumes delivered. We delivered 19% more volume to our downstream terminal customers in the current period. Our pricing to purchase LNG for delivery to such customers was slightly lower at $7.20 per MMBtu for the year ended December 31, 2024 compared to $7.23 per MMBtu for the year ended December 31, 2023.</w:t>
      </w:r>
    </w:p>
    <w:p>
      <w:pPr>
        <w:spacing w:after="0" w:line="204" w:lineRule="exact"/>
        <w:rPr>
          <w:rFonts w:ascii="Times New Roman" w:cs="Times New Roman" w:eastAsia="Times New Roman" w:hAnsi="Times New Roman"/>
          <w:sz w:val="20"/>
          <w:szCs w:val="20"/>
          <w:color w:val="auto"/>
        </w:rPr>
      </w:pPr>
    </w:p>
    <w:p>
      <w:pPr>
        <w:ind w:left="720" w:right="140" w:hanging="370"/>
        <w:spacing w:after="0" w:line="266" w:lineRule="auto"/>
        <w:tabs>
          <w:tab w:leader="none" w:pos="72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Vessel costs increased by $67.0 million, for the year ended December 31, 2024 as compared to the year ended December 31, 2023. The increase is primarily driven by additional vessels being used for servicing our terminals during 2024.</w:t>
      </w:r>
    </w:p>
    <w:p>
      <w:pPr>
        <w:spacing w:after="0" w:line="195" w:lineRule="exact"/>
        <w:rPr>
          <w:rFonts w:ascii="Times New Roman" w:cs="Times New Roman" w:eastAsia="Times New Roman" w:hAnsi="Times New Roman"/>
          <w:sz w:val="20"/>
          <w:szCs w:val="20"/>
          <w:b w:val="1"/>
          <w:bCs w:val="1"/>
          <w:i w:val="1"/>
          <w:iCs w:val="1"/>
          <w:color w:val="auto"/>
        </w:rPr>
      </w:pPr>
    </w:p>
    <w:p>
      <w:pPr>
        <w:ind w:left="720" w:right="160" w:hanging="370"/>
        <w:spacing w:after="0" w:line="26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recognized payroll and other operating costs of $101.4 million to provide services under Genera's operations and maintenance contract for the year ended December 31, 2024 compared to $35.6 million for the year ended December 31, 2023; these costs are passed onto PREPA. Only six months of such costs were incurred during the year ended December 31, 2023 as our contract commenced on July 1, 2023.</w:t>
      </w:r>
    </w:p>
    <w:p>
      <w:pPr>
        <w:spacing w:after="0" w:line="203" w:lineRule="exact"/>
        <w:rPr>
          <w:rFonts w:ascii="Times New Roman" w:cs="Times New Roman" w:eastAsia="Times New Roman" w:hAnsi="Times New Roman"/>
          <w:sz w:val="20"/>
          <w:szCs w:val="20"/>
          <w:color w:val="auto"/>
        </w:rPr>
      </w:pPr>
    </w:p>
    <w:p>
      <w:pPr>
        <w:ind w:left="720" w:right="80" w:hanging="370"/>
        <w:spacing w:after="0" w:line="281"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incurred decreased cost of LNG for cargo sales during the year ended December 31, 2024 by $19.2 million as our LNG cargo sale activity has been marginally lower in 2024.</w:t>
      </w:r>
    </w:p>
    <w:p>
      <w:pPr>
        <w:spacing w:after="0" w:line="181" w:lineRule="exact"/>
        <w:rPr>
          <w:rFonts w:ascii="Times New Roman" w:cs="Times New Roman" w:eastAsia="Times New Roman" w:hAnsi="Times New Roman"/>
          <w:sz w:val="20"/>
          <w:szCs w:val="20"/>
          <w:color w:val="auto"/>
        </w:rPr>
      </w:pPr>
    </w:p>
    <w:p>
      <w:pPr>
        <w:ind w:left="720" w:hanging="370"/>
        <w:spacing w:after="0" w:line="237" w:lineRule="auto"/>
        <w:tabs>
          <w:tab w:leader="none" w:pos="720" w:val="left"/>
        </w:tabs>
        <w:numPr>
          <w:ilvl w:val="0"/>
          <w:numId w:val="36"/>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20"/>
          <w:szCs w:val="20"/>
          <w:color w:val="auto"/>
        </w:rPr>
        <w:t>In the year ended December 31, 2023, realized gains of $139.1 million from the settlement of commodity swap transactions, entered into as an economic hedge to reduce the market risks associated with commodity prices, were included as reduction of cost of sales in the segment measure. For segment performance measures, unrealized mark to market gains and losses are excluded until settled. No such transactions occurred in 2024.</w:t>
      </w:r>
    </w:p>
    <w:p>
      <w:pPr>
        <w:spacing w:after="0" w:line="223" w:lineRule="exact"/>
        <w:rPr>
          <w:sz w:val="20"/>
          <w:szCs w:val="20"/>
          <w:color w:val="auto"/>
        </w:rPr>
      </w:pPr>
    </w:p>
    <w:p>
      <w:pPr>
        <w:ind w:right="260" w:firstLine="360"/>
        <w:spacing w:after="0" w:line="281" w:lineRule="auto"/>
        <w:rPr>
          <w:sz w:val="20"/>
          <w:szCs w:val="20"/>
          <w:color w:val="auto"/>
        </w:rPr>
      </w:pPr>
      <w:r>
        <w:rPr>
          <w:rFonts w:ascii="Times New Roman" w:cs="Times New Roman" w:eastAsia="Times New Roman" w:hAnsi="Times New Roman"/>
          <w:sz w:val="20"/>
          <w:szCs w:val="20"/>
          <w:color w:val="auto"/>
        </w:rPr>
        <w:t>The weighted-average cost of our LNG inventory balance to be used in our operations as of December 31, 2024 and December 31, 2023 was $6.90 per MMBtu and $7.33 per MMBtu,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 and maintenance</w:t>
      </w:r>
    </w:p>
    <w:p>
      <w:pPr>
        <w:spacing w:after="0" w:line="254"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20"/>
          <w:szCs w:val="20"/>
          <w:color w:val="auto"/>
        </w:rPr>
        <w:t>Operations and maintenance includes costs of operating our facilities, exclusive of costs to convert that are reflected in Cost of sales.</w:t>
      </w:r>
    </w:p>
    <w:p>
      <w:pPr>
        <w:spacing w:after="0" w:line="181"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Operations and maintenance increased by $2.3 million for the three months ended December 31, 2024 as compared to the three months ended September 30, 2024. We incurred additional operations and maintenance costs for planned maintenance at our terminals and power plants during the three months ended December 31, 2024.</w:t>
      </w:r>
    </w:p>
    <w:p>
      <w:pPr>
        <w:spacing w:after="0" w:line="195" w:lineRule="exact"/>
        <w:rPr>
          <w:sz w:val="20"/>
          <w:szCs w:val="20"/>
          <w:color w:val="auto"/>
        </w:rPr>
      </w:pPr>
    </w:p>
    <w:p>
      <w:pPr>
        <w:jc w:val="both"/>
        <w:ind w:right="100" w:firstLine="360"/>
        <w:spacing w:after="0" w:line="278" w:lineRule="auto"/>
        <w:rPr>
          <w:sz w:val="20"/>
          <w:szCs w:val="20"/>
          <w:color w:val="auto"/>
        </w:rPr>
      </w:pPr>
      <w:r>
        <w:rPr>
          <w:rFonts w:ascii="Times New Roman" w:cs="Times New Roman" w:eastAsia="Times New Roman" w:hAnsi="Times New Roman"/>
          <w:sz w:val="19"/>
          <w:szCs w:val="19"/>
          <w:color w:val="auto"/>
        </w:rPr>
        <w:t>Operations and maintenance increased by $7.5 million for the year ended December 31, 2024 as compared to the year ended December 31, 2023. We incurred full year of operations and maintenance costs at our La Paz Power Plant in 2024, as it was placed into service in September 2023. Additional operations and maintenance cost were also incurred at our La Paz Facility in 2024 to meet higher customer demand. The increase in costs were partially offset by lower lease costs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ectPr>
          <w:pgSz w:w="12240" w:h="15840" w:orient="portrait"/>
          <w:cols w:equalWidth="0" w:num="1">
            <w:col w:w="9880"/>
          </w:cols>
          <w:pgMar w:left="1180" w:top="218" w:right="118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incurred in 2024. The Company's contract to provide emergency power services to support the grid stabilization project was terminated in the first quarter of 2024 resulting in decreased lease expense compared to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earnings from contracted sales</w:t>
      </w:r>
    </w:p>
    <w:p>
      <w:pPr>
        <w:spacing w:after="0" w:line="238"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20"/>
          <w:szCs w:val="20"/>
          <w:color w:val="auto"/>
        </w:rPr>
        <w:t>In the second and third quarters of 2024, we completed forward sales receiving prepayments from the buyers of $90.0 million and $60.0 million respectively. The prepayments were based on the fair market value of these sales as compared to our supply cost, and our CODM includes these results in his evaluation of Terminals and Infrastructure operations. Revenue for these sales have been recognized in our Consolidated Statements of Operations and Comprehensive (Loss) Income in the third and fourth quarters of 2024, and as such, these deferred earnings do not impact the total segment operating margin recognized for the year ended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Ships Segment</w:t>
      </w:r>
    </w:p>
    <w:p>
      <w:pPr>
        <w:spacing w:after="0" w:line="3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9"/>
                <w:szCs w:val="19"/>
                <w:color w:val="auto"/>
              </w:rPr>
            </w:pPr>
          </w:p>
        </w:tc>
        <w:tc>
          <w:tcPr>
            <w:tcW w:w="10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September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31, 2024</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30, 2024</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w:t>
            </w:r>
          </w:p>
        </w:tc>
        <w:tc>
          <w:tcPr>
            <w:tcW w:w="0" w:type="dxa"/>
            <w:vAlign w:val="bottom"/>
          </w:tcPr>
          <w:p>
            <w:pPr>
              <w:spacing w:after="0"/>
              <w:rPr>
                <w:sz w:val="1"/>
                <w:szCs w:val="1"/>
                <w:color w:val="auto"/>
              </w:rPr>
            </w:pP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34,144</w:t>
            </w:r>
          </w:p>
        </w:tc>
        <w:tc>
          <w:tcPr>
            <w:tcW w:w="60" w:type="dxa"/>
            <w:vAlign w:val="bottom"/>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34,808</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(664)</w:t>
            </w:r>
          </w:p>
        </w:tc>
        <w:tc>
          <w:tcPr>
            <w:tcW w:w="0" w:type="dxa"/>
            <w:vAlign w:val="bottom"/>
          </w:tcPr>
          <w:p>
            <w:pPr>
              <w:spacing w:after="0"/>
              <w:rPr>
                <w:sz w:val="1"/>
                <w:szCs w:val="1"/>
                <w:color w:val="auto"/>
              </w:rPr>
            </w:pPr>
          </w:p>
        </w:tc>
      </w:tr>
      <w:tr>
        <w:trPr>
          <w:trHeight w:val="605"/>
        </w:trPr>
        <w:tc>
          <w:tcPr>
            <w:tcW w:w="6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40" w:type="dxa"/>
            <w:vAlign w:val="bottom"/>
          </w:tcPr>
          <w:p>
            <w:pPr>
              <w:jc w:val="center"/>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8"/>
                <w:szCs w:val="18"/>
                <w:color w:val="auto"/>
              </w:rPr>
            </w:pPr>
          </w:p>
        </w:tc>
        <w:tc>
          <w:tcPr>
            <w:tcW w:w="128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31, 2024</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170,587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(123,018)</w:t>
            </w:r>
          </w:p>
        </w:tc>
        <w:tc>
          <w:tcPr>
            <w:tcW w:w="0" w:type="dxa"/>
            <w:vAlign w:val="bottom"/>
          </w:tcPr>
          <w:p>
            <w:pPr>
              <w:spacing w:after="0"/>
              <w:rPr>
                <w:sz w:val="1"/>
                <w:szCs w:val="1"/>
                <w:color w:val="auto"/>
              </w:rPr>
            </w:pP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(18,015)</w:t>
            </w:r>
          </w:p>
        </w:tc>
        <w:tc>
          <w:tcPr>
            <w:tcW w:w="0" w:type="dxa"/>
            <w:vAlign w:val="bottom"/>
          </w:tcPr>
          <w:p>
            <w:pPr>
              <w:spacing w:after="0"/>
              <w:rPr>
                <w:sz w:val="1"/>
                <w:szCs w:val="1"/>
                <w:color w:val="auto"/>
              </w:rPr>
            </w:pP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137,215</w:t>
            </w:r>
          </w:p>
        </w:tc>
        <w:tc>
          <w:tcPr>
            <w:tcW w:w="60" w:type="dxa"/>
            <w:vAlign w:val="bottom"/>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242,218</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(105,003)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-1853565</wp:posOffset>
            </wp:positionV>
            <wp:extent cx="6311900" cy="587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extLst>
                    </a:blip>
                    <a:srcRect/>
                    <a:stretch>
                      <a:fillRect/>
                    </a:stretch>
                  </pic:blipFill>
                  <pic:spPr bwMode="auto">
                    <a:xfrm>
                      <a:off x="0" y="0"/>
                      <a:ext cx="6311900" cy="587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-580390</wp:posOffset>
            </wp:positionV>
            <wp:extent cx="6311900" cy="587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extLst>
                    </a:blip>
                    <a:srcRect/>
                    <a:stretch>
                      <a:fillRect/>
                    </a:stretch>
                  </pic:blipFill>
                  <pic:spPr bwMode="auto">
                    <a:xfrm>
                      <a:off x="0" y="0"/>
                      <a:ext cx="6311900" cy="587375"/>
                    </a:xfrm>
                    <a:prstGeom prst="rect">
                      <a:avLst/>
                    </a:prstGeom>
                    <a:noFill/>
                  </pic:spPr>
                </pic:pic>
              </a:graphicData>
            </a:graphic>
          </wp:anchor>
        </w:drawing>
      </w:r>
    </w:p>
    <w:p>
      <w:pPr>
        <w:spacing w:after="0" w:line="248" w:lineRule="exact"/>
        <w:rPr>
          <w:sz w:val="20"/>
          <w:szCs w:val="20"/>
          <w:color w:val="auto"/>
        </w:rPr>
      </w:pPr>
    </w:p>
    <w:p>
      <w:pPr>
        <w:ind w:right="240" w:firstLine="460"/>
        <w:spacing w:after="0" w:line="260" w:lineRule="auto"/>
        <w:rPr>
          <w:sz w:val="20"/>
          <w:szCs w:val="20"/>
          <w:color w:val="auto"/>
        </w:rPr>
      </w:pPr>
      <w:r>
        <w:rPr>
          <w:rFonts w:ascii="Times New Roman" w:cs="Times New Roman" w:eastAsia="Times New Roman" w:hAnsi="Times New Roman"/>
          <w:sz w:val="20"/>
          <w:szCs w:val="20"/>
          <w:color w:val="auto"/>
        </w:rPr>
        <w:t>Revenue in the Ships segment is comprised of operating lease revenue under time charters, fees for positioning and repositioning vessels as well as the reimbursement of certain vessel operating costs. As of December 31, 2024, three vessels included in the Energos Formation Transaction were leased to customers under long-term arrangements and are included in this segment.</w:t>
      </w:r>
    </w:p>
    <w:p>
      <w:pPr>
        <w:spacing w:after="0" w:line="203"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 xml:space="preserve">On March 15, 2023, we completed disposition of our investment in the common units of Hilli LLC, and after this point, the revenue, expenses and operating margin attributable to our 50% ownership of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are no longer included in our segment results. In the first quarter of 2024, we sold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for a total consideration of $22.4 million resulting in a gain of $0.4 million. The gain on sale is included in Loss (gain) on sale of assets, net in the Consolidated Statements of Operations and Comprehensive (Loss)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4"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Total revenue for the Ships segment remained consistent from the three months ended September 30, 2024 to the three months ended December 31, 2024 with a small decrease of $0.7 million.</w:t>
      </w:r>
    </w:p>
    <w:p>
      <w:pPr>
        <w:spacing w:after="0" w:line="181" w:lineRule="exact"/>
        <w:rPr>
          <w:sz w:val="20"/>
          <w:szCs w:val="20"/>
          <w:color w:val="auto"/>
        </w:rPr>
      </w:pPr>
    </w:p>
    <w:p>
      <w:pPr>
        <w:jc w:val="both"/>
        <w:ind w:right="140" w:firstLine="360"/>
        <w:spacing w:after="0" w:line="257" w:lineRule="auto"/>
        <w:rPr>
          <w:sz w:val="20"/>
          <w:szCs w:val="20"/>
          <w:color w:val="auto"/>
        </w:rPr>
      </w:pPr>
      <w:r>
        <w:rPr>
          <w:rFonts w:ascii="Times New Roman" w:cs="Times New Roman" w:eastAsia="Times New Roman" w:hAnsi="Times New Roman"/>
          <w:sz w:val="20"/>
          <w:szCs w:val="20"/>
          <w:color w:val="auto"/>
        </w:rPr>
        <w:t xml:space="preserve">Total revenue for the Ships segment decreased by $123.0 million for the year ended December 31, 2024 as compared to the year ended December 31, 2023. After the disposition of our investment in the common units of Hilli LLC at the end of the first quarter of 2023, we no longer recognize revenue from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decreasing revenue in the Ships segment.</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Additionally the charters for four vessels concluded in 2023, and one vessel in 2024, lowering vessel revenue for the year ended December 31, 2024. We are now utilizing these vessels in our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operating expenses</w:t>
      </w:r>
    </w:p>
    <w:p>
      <w:pPr>
        <w:spacing w:after="0" w:line="254"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 xml:space="preserve">Vessel operating expenses include direct costs associated with operating a vessel, such as crewing, repairs and maintenance, insurance, stores, lube oils, communication expenses, management fees and costs to operate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prior to the Hilli Exchange discussed above. We also recognize voyage expenses within Vessel operating expenses, which principally consist of fuel consumed before or after the term of time charter or when the vessel is off hire. Under time</w:t>
      </w:r>
    </w:p>
    <w:p>
      <w:pPr>
        <w:sectPr>
          <w:pgSz w:w="12240" w:h="15840" w:orient="portrait"/>
          <w:cols w:equalWidth="0" w:num="1">
            <w:col w:w="9900"/>
          </w:cols>
          <w:pgMar w:left="1180" w:top="218" w:right="1160" w:bottom="0" w:gutter="0" w:footer="0" w:header="0"/>
        </w:sect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ectPr>
          <w:pgSz w:w="12240" w:h="15840" w:orient="portrait"/>
          <w:cols w:equalWidth="0" w:num="1">
            <w:col w:w="9900"/>
          </w:cols>
          <w:pgMar w:left="1180" w:top="218" w:right="11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95" w:lineRule="exact"/>
        <w:rPr>
          <w:sz w:val="20"/>
          <w:szCs w:val="20"/>
          <w:color w:val="auto"/>
        </w:rPr>
      </w:pPr>
    </w:p>
    <w:p>
      <w:pPr>
        <w:ind w:right="400" w:firstLine="396"/>
        <w:spacing w:after="0" w:line="281" w:lineRule="auto"/>
        <w:rPr>
          <w:sz w:val="20"/>
          <w:szCs w:val="20"/>
          <w:color w:val="auto"/>
        </w:rPr>
      </w:pPr>
      <w:r>
        <w:rPr>
          <w:rFonts w:ascii="Times New Roman" w:cs="Times New Roman" w:eastAsia="Times New Roman" w:hAnsi="Times New Roman"/>
          <w:sz w:val="20"/>
          <w:szCs w:val="20"/>
          <w:color w:val="auto"/>
        </w:rPr>
        <w:t>Vessel operating expenses remained consistent between the three months ended September 30, 2024 and the three months ended December 31, 2024.</w:t>
      </w:r>
    </w:p>
    <w:p>
      <w:pPr>
        <w:spacing w:after="0" w:line="181" w:lineRule="exact"/>
        <w:rPr>
          <w:sz w:val="20"/>
          <w:szCs w:val="20"/>
          <w:color w:val="auto"/>
        </w:rPr>
      </w:pPr>
    </w:p>
    <w:p>
      <w:pPr>
        <w:ind w:right="120" w:firstLine="396"/>
        <w:spacing w:after="0" w:line="258" w:lineRule="auto"/>
        <w:rPr>
          <w:sz w:val="20"/>
          <w:szCs w:val="20"/>
          <w:color w:val="auto"/>
        </w:rPr>
      </w:pPr>
      <w:r>
        <w:rPr>
          <w:rFonts w:ascii="Times New Roman" w:cs="Times New Roman" w:eastAsia="Times New Roman" w:hAnsi="Times New Roman"/>
          <w:sz w:val="20"/>
          <w:szCs w:val="20"/>
          <w:color w:val="auto"/>
        </w:rPr>
        <w:t xml:space="preserve">Vessel operating expenses decreased by $18.0 million for the year ended December 31, 2024 as compared to the year ended December 31, 2023. The decrease in vessel operating expenses was primarily due to lower costs related to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after the disposition our investment in the common units of Hilli LLC at the end of the first quarter of 2023. We started using four vessels in 2023 and one vessel in 2024 that were in the Ships segment, in our terminal operations, resulting in lower vessel operating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operating results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3"/>
        </w:trPr>
        <w:tc>
          <w:tcPr>
            <w:tcW w:w="198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0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40" w:type="dxa"/>
            <w:vAlign w:val="bottom"/>
          </w:tcPr>
          <w:p>
            <w:pPr>
              <w:jc w:val="right"/>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6"/>
              </w:rPr>
              <w:t>December</w:t>
            </w:r>
          </w:p>
        </w:tc>
        <w:tc>
          <w:tcPr>
            <w:tcW w:w="60" w:type="dxa"/>
            <w:vAlign w:val="bottom"/>
          </w:tcPr>
          <w:p>
            <w:pPr>
              <w:spacing w:after="0"/>
              <w:rPr>
                <w:sz w:val="18"/>
                <w:szCs w:val="18"/>
                <w:color w:val="auto"/>
              </w:rPr>
            </w:pPr>
          </w:p>
        </w:tc>
        <w:tc>
          <w:tcPr>
            <w:tcW w:w="1200" w:type="dxa"/>
            <w:vAlign w:val="bottom"/>
            <w:gridSpan w:val="2"/>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9"/>
              </w:rPr>
              <w:t>September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60" w:type="dxa"/>
            <w:vAlign w:val="bottom"/>
          </w:tcPr>
          <w:p>
            <w:pPr>
              <w:spacing w:after="0"/>
              <w:rPr>
                <w:sz w:val="18"/>
                <w:szCs w:val="18"/>
                <w:color w:val="auto"/>
              </w:rPr>
            </w:pPr>
          </w:p>
        </w:tc>
        <w:tc>
          <w:tcPr>
            <w:tcW w:w="106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20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31, 2024</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30, 2024</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31, 2024</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31, 2023</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50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color w:val="auto"/>
              </w:rPr>
              <w:t>Selling, general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61,800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82,388</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(20,588)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285,520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205,104</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80,416</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administrative</w:t>
            </w:r>
          </w:p>
        </w:tc>
        <w:tc>
          <w:tcPr>
            <w:tcW w:w="1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Transaction and integration</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5,994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3,154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2,840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5,333</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38,746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35,364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162,014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(25,310)</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amortization</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 impairment expense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5,536</w:t>
            </w:r>
          </w:p>
        </w:tc>
        <w:tc>
          <w:tcPr>
            <w:tcW w:w="0" w:type="dxa"/>
            <w:vAlign w:val="bottom"/>
          </w:tcPr>
          <w:p>
            <w:pPr>
              <w:spacing w:after="0"/>
              <w:rPr>
                <w:sz w:val="1"/>
                <w:szCs w:val="1"/>
                <w:color w:val="auto"/>
              </w:rPr>
            </w:pPr>
          </w:p>
        </w:tc>
      </w:tr>
      <w:tr>
        <w:trPr>
          <w:trHeight w:val="23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(gain) on sale of assets,</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77,562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106,940</w:t>
            </w:r>
          </w:p>
        </w:tc>
        <w:tc>
          <w:tcPr>
            <w:tcW w:w="0" w:type="dxa"/>
            <w:vAlign w:val="bottom"/>
          </w:tcPr>
          <w:p>
            <w:pPr>
              <w:spacing w:after="0"/>
              <w:rPr>
                <w:sz w:val="1"/>
                <w:szCs w:val="1"/>
                <w:color w:val="auto"/>
              </w:rPr>
            </w:pPr>
          </w:p>
        </w:tc>
      </w:tr>
      <w:tr>
        <w:trPr>
          <w:trHeight w:val="26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122,390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(4,690)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553,869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380,954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172,915</w:t>
            </w:r>
          </w:p>
        </w:tc>
        <w:tc>
          <w:tcPr>
            <w:tcW w:w="0" w:type="dxa"/>
            <w:vAlign w:val="bottom"/>
          </w:tcPr>
          <w:p>
            <w:pPr>
              <w:spacing w:after="0"/>
              <w:rPr>
                <w:sz w:val="1"/>
                <w:szCs w:val="1"/>
                <w:color w:val="auto"/>
              </w:rPr>
            </w:pPr>
          </w:p>
        </w:tc>
      </w:tr>
      <w:tr>
        <w:trPr>
          <w:trHeight w:val="27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230,270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538,639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942,667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(404,028)</w:t>
            </w:r>
          </w:p>
        </w:tc>
        <w:tc>
          <w:tcPr>
            <w:tcW w:w="0" w:type="dxa"/>
            <w:vAlign w:val="bottom"/>
          </w:tcPr>
          <w:p>
            <w:pPr>
              <w:spacing w:after="0"/>
              <w:rPr>
                <w:sz w:val="1"/>
                <w:szCs w:val="1"/>
                <w:color w:val="auto"/>
              </w:rPr>
            </w:pPr>
          </w:p>
        </w:tc>
      </w:tr>
      <w:tr>
        <w:trPr>
          <w:trHeight w:val="30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328,377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50,535</w:t>
            </w:r>
          </w:p>
        </w:tc>
        <w:tc>
          <w:tcPr>
            <w:tcW w:w="0" w:type="dxa"/>
            <w:vAlign w:val="bottom"/>
          </w:tcPr>
          <w:p>
            <w:pPr>
              <w:spacing w:after="0"/>
              <w:rPr>
                <w:sz w:val="1"/>
                <w:szCs w:val="1"/>
                <w:color w:val="auto"/>
              </w:rPr>
            </w:pPr>
          </w:p>
        </w:tc>
      </w:tr>
      <w:tr>
        <w:trPr>
          <w:trHeight w:val="49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expense (income), net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113,077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102,669</w:t>
            </w:r>
          </w:p>
        </w:tc>
        <w:tc>
          <w:tcPr>
            <w:tcW w:w="0" w:type="dxa"/>
            <w:vAlign w:val="bottom"/>
          </w:tcPr>
          <w:p>
            <w:pPr>
              <w:spacing w:after="0"/>
              <w:rPr>
                <w:sz w:val="1"/>
                <w:szCs w:val="1"/>
                <w:color w:val="auto"/>
              </w:rPr>
            </w:pPr>
          </w:p>
        </w:tc>
      </w:tr>
      <w:tr>
        <w:trPr>
          <w:trHeight w:val="28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on extinguishment of</w:t>
            </w:r>
          </w:p>
        </w:tc>
        <w:tc>
          <w:tcPr>
            <w:tcW w:w="1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260,309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260,309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0" w:type="dxa"/>
            <w:vAlign w:val="bottom"/>
          </w:tcPr>
          <w:p>
            <w:pPr>
              <w:spacing w:after="0"/>
              <w:rPr>
                <w:sz w:val="1"/>
                <w:szCs w:val="1"/>
                <w:color w:val="auto"/>
              </w:rPr>
            </w:pPr>
          </w:p>
        </w:tc>
      </w:tr>
      <w:tr>
        <w:trPr>
          <w:trHeight w:val="26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debt, net</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0"/>
                <w:szCs w:val="20"/>
                <w:b w:val="1"/>
                <w:bCs w:val="1"/>
                <w:color w:val="auto"/>
              </w:rPr>
              <w:t>(Loss) income before</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0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20"/>
                <w:szCs w:val="20"/>
                <w:b w:val="1"/>
                <w:bCs w:val="1"/>
                <w:color w:val="auto"/>
              </w:rPr>
              <w:t>income from equity</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0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20"/>
                <w:szCs w:val="20"/>
                <w:b w:val="1"/>
                <w:bCs w:val="1"/>
                <w:color w:val="auto"/>
              </w:rPr>
              <w:t>method investments and</w:t>
            </w: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(182,013)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14,266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(196,279)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(172,878)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654,417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(827,295)</w:t>
            </w:r>
          </w:p>
        </w:tc>
        <w:tc>
          <w:tcPr>
            <w:tcW w:w="0" w:type="dxa"/>
            <w:vAlign w:val="bottom"/>
          </w:tcPr>
          <w:p>
            <w:pPr>
              <w:spacing w:after="0"/>
              <w:rPr>
                <w:sz w:val="1"/>
                <w:szCs w:val="1"/>
                <w:color w:val="auto"/>
              </w:rPr>
            </w:pPr>
          </w:p>
        </w:tc>
      </w:tr>
      <w:tr>
        <w:trPr>
          <w:trHeight w:val="264"/>
        </w:trPr>
        <w:tc>
          <w:tcPr>
            <w:tcW w:w="250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(loss) from equity</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method investments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Tax provision (benefit)</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41,497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38,544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69,509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115,513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(46,004)</w:t>
            </w:r>
          </w:p>
        </w:tc>
        <w:tc>
          <w:tcPr>
            <w:tcW w:w="0" w:type="dxa"/>
            <w:vAlign w:val="bottom"/>
          </w:tcPr>
          <w:p>
            <w:pPr>
              <w:spacing w:after="0"/>
              <w:rPr>
                <w:sz w:val="1"/>
                <w:szCs w:val="1"/>
                <w:color w:val="auto"/>
              </w:rPr>
            </w:pPr>
          </w:p>
        </w:tc>
      </w:tr>
      <w:tr>
        <w:trPr>
          <w:trHeight w:val="28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(223,510)</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11,313</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(234,823)</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(242,387)</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-3952240</wp:posOffset>
            </wp:positionV>
            <wp:extent cx="6311900" cy="3959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extLst>
                    </a:blip>
                    <a:srcRect/>
                    <a:stretch>
                      <a:fillRect/>
                    </a:stretch>
                  </pic:blipFill>
                  <pic:spPr bwMode="auto">
                    <a:xfrm>
                      <a:off x="0" y="0"/>
                      <a:ext cx="6311900" cy="39592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54" w:lineRule="exact"/>
        <w:rPr>
          <w:sz w:val="20"/>
          <w:szCs w:val="20"/>
          <w:color w:val="auto"/>
        </w:rPr>
      </w:pPr>
    </w:p>
    <w:p>
      <w:pPr>
        <w:ind w:right="420" w:firstLine="360"/>
        <w:spacing w:after="0" w:line="266" w:lineRule="auto"/>
        <w:rPr>
          <w:sz w:val="20"/>
          <w:szCs w:val="20"/>
          <w:color w:val="auto"/>
        </w:rPr>
      </w:pPr>
      <w:r>
        <w:rPr>
          <w:rFonts w:ascii="Times New Roman" w:cs="Times New Roman" w:eastAsia="Times New Roman" w:hAnsi="Times New Roman"/>
          <w:sz w:val="20"/>
          <w:szCs w:val="20"/>
          <w:color w:val="auto"/>
        </w:rPr>
        <w:t>Selling, general and administrative includes compensation expenses for our corporate employees, employee travel costs, insurance, professional fees for our advisors, and screening costs for projects that are in initial stages and development is not yet probable.</w:t>
      </w:r>
    </w:p>
    <w:p>
      <w:pPr>
        <w:spacing w:after="0" w:line="195"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20"/>
          <w:szCs w:val="20"/>
          <w:color w:val="auto"/>
        </w:rPr>
        <w:t>Selling, general and administrative for the three months ended December 31, 2024 decreased by $20.6 million as compared to the three months ended September 30, 2024. The decrease was primarily driven by significant forfeitures of RSUs due to employee terminations, as well as, reduction in non-capitalizable development costs and payroll costs.</w:t>
      </w:r>
    </w:p>
    <w:p>
      <w:pPr>
        <w:spacing w:after="0" w:line="195" w:lineRule="exact"/>
        <w:rPr>
          <w:sz w:val="20"/>
          <w:szCs w:val="20"/>
          <w:color w:val="auto"/>
        </w:rPr>
      </w:pPr>
    </w:p>
    <w:p>
      <w:pPr>
        <w:jc w:val="both"/>
        <w:ind w:right="40" w:firstLine="360"/>
        <w:spacing w:after="0" w:line="286" w:lineRule="auto"/>
        <w:rPr>
          <w:sz w:val="20"/>
          <w:szCs w:val="20"/>
          <w:color w:val="auto"/>
        </w:rPr>
      </w:pPr>
      <w:r>
        <w:rPr>
          <w:rFonts w:ascii="Times New Roman" w:cs="Times New Roman" w:eastAsia="Times New Roman" w:hAnsi="Times New Roman"/>
          <w:sz w:val="19"/>
          <w:szCs w:val="19"/>
          <w:color w:val="auto"/>
        </w:rPr>
        <w:t>Selling, general and administrative increased by $80.4 million for the year ended December 31, 2024, compared to the year ended December 31, 2023. The increase was primarily due to higher share-based compensation expense and screening costs. During 2024, we granted RSUs to select officers, employees and certain non-employees, and an equity award to</w:t>
      </w:r>
    </w:p>
    <w:p>
      <w:pPr>
        <w:sectPr>
          <w:pgSz w:w="12240" w:h="15840" w:orient="portrait"/>
          <w:cols w:equalWidth="0" w:num="1">
            <w:col w:w="9900"/>
          </w:cols>
          <w:pgMar w:left="1180" w:top="218" w:right="1160" w:bottom="0"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ectPr>
          <w:pgSz w:w="12240" w:h="15840" w:orient="portrait"/>
          <w:cols w:equalWidth="0" w:num="1">
            <w:col w:w="9900"/>
          </w:cols>
          <w:pgMar w:left="1180" w:top="218" w:right="116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certain employees that will settle in shares of a subsidiary owning the Company's Brazilian operations. The Company recognized $50.4 million of share-based compensation expense for RSUs and other equity awards during the year ended December 31, 2024; no significant cost was recognized in the year ended December 31, 2023. In addition, the bad debt expense increased by $15.9 million for additional allowance and write-off of receivables during 2024. We also incurred higher screening costs for our development projects during 2024, offset by lower travel, payroll costs and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and integration costs</w:t>
      </w:r>
    </w:p>
    <w:p>
      <w:pPr>
        <w:spacing w:after="0" w:line="254" w:lineRule="exact"/>
        <w:rPr>
          <w:sz w:val="20"/>
          <w:szCs w:val="20"/>
          <w:color w:val="auto"/>
        </w:rPr>
      </w:pPr>
    </w:p>
    <w:p>
      <w:pPr>
        <w:ind w:right="480" w:firstLine="360"/>
        <w:spacing w:after="0" w:line="266" w:lineRule="auto"/>
        <w:rPr>
          <w:sz w:val="20"/>
          <w:szCs w:val="20"/>
          <w:color w:val="auto"/>
        </w:rPr>
      </w:pPr>
      <w:r>
        <w:rPr>
          <w:rFonts w:ascii="Times New Roman" w:cs="Times New Roman" w:eastAsia="Times New Roman" w:hAnsi="Times New Roman"/>
          <w:sz w:val="20"/>
          <w:szCs w:val="20"/>
          <w:color w:val="auto"/>
        </w:rPr>
        <w:t>The transaction and integration costs of $6.0 million and $12.3 million during the three months and year ended December 31, 2024, respectively, primarily relate to legal fees and other third party costs incurred by the Company in connection with the amendments of credit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54" w:lineRule="exact"/>
        <w:rPr>
          <w:sz w:val="20"/>
          <w:szCs w:val="20"/>
          <w:color w:val="auto"/>
        </w:rPr>
      </w:pPr>
    </w:p>
    <w:p>
      <w:pPr>
        <w:jc w:val="both"/>
        <w:ind w:right="160" w:firstLine="360"/>
        <w:spacing w:after="0" w:line="266" w:lineRule="auto"/>
        <w:rPr>
          <w:sz w:val="20"/>
          <w:szCs w:val="20"/>
          <w:color w:val="auto"/>
        </w:rPr>
      </w:pPr>
      <w:r>
        <w:rPr>
          <w:rFonts w:ascii="Times New Roman" w:cs="Times New Roman" w:eastAsia="Times New Roman" w:hAnsi="Times New Roman"/>
          <w:sz w:val="20"/>
          <w:szCs w:val="20"/>
          <w:color w:val="auto"/>
        </w:rPr>
        <w:t>Depreciation and amortization increased by $3.4 million for the three months ended December 31, 2024 as compared to the three months ended September 30, 2024. The increase during the fourth quarter of 2024 was mostly attributable to additional depreciation of capitalized vessel-related costs.</w:t>
      </w:r>
    </w:p>
    <w:p>
      <w:pPr>
        <w:spacing w:after="0" w:line="195"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Depreciation and amortization decreased by $25.3 million for the year ended December 31, 2024 as compared to the year ended December 31, 2023. During 2024, the Company sold turbines and related equipment to PREPA, resulting in a lower depreciation and amortization expense compared to the year ended December 31, 2023. Amortization of favorable vessel charter contracts also decreased in 2024 due to the expiration of charter contracts. The decrease in depreciation and amortization expense was partly offset by additional depreciation and amortization expense relating to PortoCem Acquisition and the La Paz Power Plant that was put into service during third quarter of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impairment expense</w:t>
      </w:r>
    </w:p>
    <w:p>
      <w:pPr>
        <w:spacing w:after="0" w:line="254"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 xml:space="preserve">For the year ended December 31, 2024 the Company recognized an impairment loss of $16.0 million related to the sale of our Miami facility, which includes an allocation of goodwill of $10.4 million. During year ended December 31, 2023, we recognized an impairment expense of $10.9 million for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(gain) on sale of assets, net</w:t>
      </w:r>
    </w:p>
    <w:p>
      <w:pPr>
        <w:spacing w:after="0" w:line="254"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 xml:space="preserve">The Company had no significant asset sales during the third and fourth quarters of 2024. In 2023, we sold the vessel </w:t>
      </w:r>
      <w:r>
        <w:rPr>
          <w:rFonts w:ascii="Times New Roman" w:cs="Times New Roman" w:eastAsia="Times New Roman" w:hAnsi="Times New Roman"/>
          <w:sz w:val="20"/>
          <w:szCs w:val="20"/>
          <w:b w:val="1"/>
          <w:bCs w:val="1"/>
          <w:i w:val="1"/>
          <w:iCs w:val="1"/>
          <w:color w:val="auto"/>
        </w:rPr>
        <w:t xml:space="preserve">Golar Spirit </w:t>
      </w:r>
      <w:r>
        <w:rPr>
          <w:rFonts w:ascii="Times New Roman" w:cs="Times New Roman" w:eastAsia="Times New Roman" w:hAnsi="Times New Roman"/>
          <w:sz w:val="20"/>
          <w:szCs w:val="20"/>
          <w:color w:val="auto"/>
        </w:rPr>
        <w:t>and 100% of shares of Pecém and Muricy resulting in a total gain of $29.3 million. During 2024,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recognized a loss of $77.6 million from the sale of turbines and related equipment to the PREPA.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4"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Interest expense increased by $28.4 million for the three months ended December 31, 2024 as compared to the three months ended September 30, 2024, primarily due to additional deferred financing costs and higher interest rate under new and refinanced borrowings.</w:t>
      </w:r>
    </w:p>
    <w:p>
      <w:pPr>
        <w:spacing w:after="0" w:line="195"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Interest expense increased by $50.5 million for the year ended December 31, 2024, as compared to the year ended December 31, 2023. The increase was primarily due to an increase in total principal outstanding for additional borrowings and amortization of related debt issuance costs, net of capitalized interest cost. The total principal balance on outstanding facilities was $9.0 billion as of December 31, 2024 as compared to total outstanding debt of $6.9 billion as of December 31, 2023.</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ectPr>
          <w:pgSz w:w="12240" w:h="15840" w:orient="portrait"/>
          <w:cols w:equalWidth="0" w:num="1">
            <w:col w:w="9880"/>
          </w:cols>
          <w:pgMar w:left="1180" w:top="218" w:right="11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net</w:t>
      </w:r>
    </w:p>
    <w:p>
      <w:pPr>
        <w:spacing w:after="0" w:line="254"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20"/>
          <w:szCs w:val="20"/>
          <w:color w:val="auto"/>
        </w:rPr>
        <w:t>Other expense, net and other income, net was $52.4 million and $5.8 million for the three months ended December 31, 2024 and September 30, 2024, respectively. Other expense, net was $113.1 million and $10.4 million for the year ended December 31, 2024 and December 31, 2023, respectively.</w:t>
      </w:r>
    </w:p>
    <w:p>
      <w:pPr>
        <w:spacing w:after="0" w:line="195" w:lineRule="exact"/>
        <w:rPr>
          <w:sz w:val="20"/>
          <w:szCs w:val="20"/>
          <w:color w:val="auto"/>
        </w:rPr>
      </w:pPr>
    </w:p>
    <w:p>
      <w:pPr>
        <w:ind w:right="300" w:firstLine="360"/>
        <w:spacing w:after="0" w:line="266" w:lineRule="auto"/>
        <w:rPr>
          <w:sz w:val="20"/>
          <w:szCs w:val="20"/>
          <w:color w:val="auto"/>
        </w:rPr>
      </w:pPr>
      <w:r>
        <w:rPr>
          <w:rFonts w:ascii="Times New Roman" w:cs="Times New Roman" w:eastAsia="Times New Roman" w:hAnsi="Times New Roman"/>
          <w:sz w:val="20"/>
          <w:szCs w:val="20"/>
          <w:color w:val="auto"/>
        </w:rPr>
        <w:t>Other expense, net recognized in the three months ended December 31, 2024 was primarily comprised of foreign currency loss due to remeasurement of USD denominated debt in our Brazil subsidiary. The losses were partly offset by interest income, and realized and unrealized gains on foreign currency derivative contracts.</w:t>
      </w:r>
    </w:p>
    <w:p>
      <w:pPr>
        <w:spacing w:after="0" w:line="195"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Other expense, net recognized in the year ended December 31, 2024 was primarily comprised of remeasurement losses from USD denominated foreign currency debt in Brazil, resulting from depreciation of the BRL currency. The losses were partially offset by interest income and realized and unrealized gains on foreign currency derivative contracts.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extinguishment of debt</w:t>
      </w:r>
    </w:p>
    <w:p>
      <w:pPr>
        <w:spacing w:after="0" w:line="238"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During the fourth quarter of 2024, we repaid all of the 2025 Notes and a portion of the 2026 Notes and 2029 Notes, and recognized as a loss on extinguishment of debt totaling $235.4 million. In Brazil, we repaid the PortoCem Bridge Loan with proceeds from the PortoCem Debenture issuance and recorded a loss on extinguishment of $25.0 million.</w:t>
      </w:r>
    </w:p>
    <w:p>
      <w:pPr>
        <w:spacing w:after="0" w:line="180" w:lineRule="exact"/>
        <w:rPr>
          <w:sz w:val="20"/>
          <w:szCs w:val="20"/>
          <w:color w:val="auto"/>
        </w:rPr>
      </w:pPr>
    </w:p>
    <w:p>
      <w:pPr>
        <w:ind w:right="80" w:firstLine="360"/>
        <w:spacing w:after="0" w:line="244" w:lineRule="auto"/>
        <w:rPr>
          <w:sz w:val="20"/>
          <w:szCs w:val="20"/>
          <w:color w:val="auto"/>
        </w:rPr>
      </w:pPr>
      <w:r>
        <w:rPr>
          <w:rFonts w:ascii="Times New Roman" w:cs="Times New Roman" w:eastAsia="Times New Roman" w:hAnsi="Times New Roman"/>
          <w:sz w:val="20"/>
          <w:szCs w:val="20"/>
          <w:color w:val="auto"/>
        </w:rPr>
        <w:t>In addition, during the first quarter of 2024, we recognized prepayment premium and unamortized financing costs of $7.9 million in connection with the prepayment of the Equipment Notes. During the same period, we also recognized a premium over the repurchase price of $1.9 million in connection with the cash tender offer to repurchase $375.0 million of the outstanding 2025 Notes. We did not have any extinguishment transactions in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(loss) from equity method investments</w:t>
      </w:r>
    </w:p>
    <w:p>
      <w:pPr>
        <w:spacing w:after="0" w:line="254" w:lineRule="exact"/>
        <w:rPr>
          <w:sz w:val="20"/>
          <w:szCs w:val="20"/>
          <w:color w:val="auto"/>
        </w:rPr>
      </w:pPr>
    </w:p>
    <w:p>
      <w:pPr>
        <w:ind w:right="540" w:firstLine="360"/>
        <w:spacing w:after="0" w:line="266" w:lineRule="auto"/>
        <w:rPr>
          <w:sz w:val="20"/>
          <w:szCs w:val="20"/>
          <w:color w:val="auto"/>
        </w:rPr>
      </w:pPr>
      <w:r>
        <w:rPr>
          <w:rFonts w:ascii="Times New Roman" w:cs="Times New Roman" w:eastAsia="Times New Roman" w:hAnsi="Times New Roman"/>
          <w:sz w:val="20"/>
          <w:szCs w:val="20"/>
          <w:color w:val="auto"/>
        </w:rPr>
        <w:t>During 2023, we recognized income of $10.0 million from our equity method investment in Energos. In the first quarter of 2024, we sold substantially all of our stake in Energos resulting in no income or loss from equity method investments for the year ended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provision</w:t>
      </w:r>
    </w:p>
    <w:p>
      <w:pPr>
        <w:spacing w:after="0" w:line="254"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We recognized a tax provision of $69.5 million for the year ended December 31, 2024 compared to a tax provision of $115.5 million year ended December 31, 2023. For the year ended December 31, 2024, the tax provision was primarily driven by U.S. tax on earnings of our Puerto Rican operations and increases in valuation allowances against losses generated by our foreign operations in Brazil and Mexico.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19"/>
          <w:szCs w:val="19"/>
          <w:color w:val="auto"/>
        </w:rPr>
        <w:t>In the fourth quarter of 2024, we entered into a series of debt and equity transactions to extend the maturities of our corporate debt and to provide additional liquidity. In October, we issued 46,349,942 shares of our Class A common stock, at a purchase price to the public of $8.63 per share, less underwriting discounts and commissions, in a registered public offering, receiving net proceeds of approximately $387 million after underwriters' discounts, commissions and offering expenses. We also completed the Refinancing Transactions under which we issued approximately $2.7 billion of New 2029 Notes, repaid in full our 2025 Notes and repaid a portion of the 2026 Notes and 2029 Notes (each defined below), along with receiving approximately $300 million in proceeds. We also amended the terms of our Revolving Facility to extend the maturity of the majority of the commitments. Collectively these transactions extended the maturity of our corporate debt while providing additional liquidity to fund our development projects, including the completion of our first FLNG project.</w:t>
      </w:r>
    </w:p>
    <w:p>
      <w:pPr>
        <w:spacing w:after="0" w:line="180" w:lineRule="exact"/>
        <w:rPr>
          <w:sz w:val="20"/>
          <w:szCs w:val="20"/>
          <w:color w:val="auto"/>
        </w:rPr>
      </w:pPr>
    </w:p>
    <w:p>
      <w:pPr>
        <w:ind w:firstLine="360"/>
        <w:spacing w:after="0" w:line="270" w:lineRule="auto"/>
        <w:rPr>
          <w:sz w:val="20"/>
          <w:szCs w:val="20"/>
          <w:color w:val="auto"/>
        </w:rPr>
      </w:pPr>
      <w:r>
        <w:rPr>
          <w:rFonts w:ascii="Times New Roman" w:cs="Times New Roman" w:eastAsia="Times New Roman" w:hAnsi="Times New Roman"/>
          <w:sz w:val="19"/>
          <w:szCs w:val="19"/>
          <w:color w:val="auto"/>
        </w:rPr>
        <w:t>We have made significant progress in extending the maturities of our long-term debt, and we continue to explore asset sales, settlement of claims and other strategic transactions (the "Transactions") that seek to optimize the value of our portfolio while providing additional liquidity and cash flow. As part of preparing the financial statements included in this Annual Report, we are required to consider the guidance in ASC 205-40, which requires us to only consider the mitigating effects of our plans only if those plans are fully implemented at the assessment date when assessing whether substantial doubt is raised about our ability to continue as a going concern. Under this guidance, we were required to exclude the effects of the Transactions from our forecast, and as such, we concluded that our current liquidity and forecasted cash flows from operations are not sufficient to support, in full, obligations as they become due. We have approved a plan to alleviate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ectPr>
          <w:pgSz w:w="12240" w:h="15840" w:orient="portrait"/>
          <w:cols w:equalWidth="0" w:num="1">
            <w:col w:w="9880"/>
          </w:cols>
          <w:pgMar w:left="1180" w:top="218" w:right="11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liquidity risk and concluded that we will have sufficient liquidity to meet its obligations as they become due over the next twelve months from the date that the consolidated financial statements were issued.</w:t>
      </w:r>
    </w:p>
    <w:p>
      <w:pPr>
        <w:spacing w:after="0" w:line="181"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20"/>
          <w:szCs w:val="20"/>
          <w:color w:val="auto"/>
        </w:rPr>
        <w:t>Additionally, we expect our current working capital position to improve based on the following: (1) funding received from our Brazil Financing Notes and our upsized Term Loan B; (2) expected cash flows generated from new gas sale agreements and volume growth in Puerto Rico, Mexico and Brazil; (3) sales of our own LNG generated by our first deployed Fast LNG unit; (4) continued proceeds from our asset sale program; and (5) our relationships with certain significant vendors, including vendors constructing our Fast LNG assets, have allowed us to extend our payment terms to better align with the expected completion of our first Fast LNG project. In addition, we have begun to identify strategic partners for one or more of our primary businesses and expect to explore potential strategic partner financing, commercial ventures or assets sales to enhance our liquidity and financial flexibility.</w:t>
      </w:r>
    </w:p>
    <w:p>
      <w:pPr>
        <w:spacing w:after="0" w:line="213"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color w:val="auto"/>
        </w:rPr>
        <w:t>We may also opportunistically elect to generate additional liquidity through future debt or equity issuances and asset sales to fund our developments and transactions. The terms and conditions of our indebtedness include restrictive covenants that limit our ability to operate our business,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Following the completion of the Refinancing Transactions, our ability to undertake these activities, including our ability to incur or refinance our debt, is further limited. Furthermore, the restrictions contemplated by certain of the amendments to our Revolving Facility require proceeds of certain asset sales to be used to pay down existing indebtedness. From time to time, we may seek to repay, refinance or restructure all or a portion of our debt or to repurchase our outstanding debt through, as applicable, tender offers, redemptions,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w:t>
      </w:r>
    </w:p>
    <w:p>
      <w:pPr>
        <w:spacing w:after="0" w:line="207"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Our remaining committed capital expenditures, inclusive of invoiced amounts in Accounts payable, is approximately $1,159 million and includes remaining expenditures to complete our first Fast LNG project and our onshore liquefaction project at Altamira, as well as committed expenditures necessary to complete the Puerto Sandino Facility, Barcarena and PortoCem Power Plants. This does not include any capital expenditures related to Klondike. We have secured financing commitments to continue to develop our Barcarena Power Plant and PortoCem Power Plant, which represents approximately $433 million of our upcoming committed capital expenditures. In February 2025, we issued the Brazil Financing Notes raising $350.0 million, and in March 2025, we upsized the Term Loan B by an additional $425.0 million. Proceeds received from these financings can be used for general corporate purposes, including towards our development projects.</w:t>
      </w:r>
    </w:p>
    <w:p>
      <w:pPr>
        <w:spacing w:after="0" w:line="20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expect fully completed Fast LNG units to cost between $1.0 billion and $2.0 billion per unit on average.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 We may also enter into other financing arrangements to generate proceeds to fund our developments.</w:t>
      </w:r>
    </w:p>
    <w:p>
      <w:pPr>
        <w:spacing w:after="0" w:line="20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As of December 31, 2024, we have spent approximately $128.6 million to develop the Pennsylvania Facility. Approximately $22.5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 project. We intend to apply for updated permits for the Pennsylvania Facility with the aim of obtaining these permits to coincide with the commencement of construction activities.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ectPr>
          <w:pgSz w:w="12240" w:h="15840" w:orient="portrait"/>
          <w:cols w:equalWidth="0" w:num="1">
            <w:col w:w="9860"/>
          </w:cols>
          <w:pgMar w:left="1180" w:top="218" w:right="120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59" w:lineRule="exact"/>
        <w:rPr>
          <w:sz w:val="20"/>
          <w:szCs w:val="20"/>
          <w:color w:val="auto"/>
        </w:rPr>
      </w:pPr>
    </w:p>
    <w:p>
      <w:pPr>
        <w:ind w:right="120" w:firstLine="396"/>
        <w:spacing w:after="0" w:line="281" w:lineRule="auto"/>
        <w:rPr>
          <w:sz w:val="20"/>
          <w:szCs w:val="20"/>
          <w:color w:val="auto"/>
        </w:rPr>
      </w:pPr>
      <w:r>
        <w:rPr>
          <w:rFonts w:ascii="Times New Roman" w:cs="Times New Roman" w:eastAsia="Times New Roman" w:hAnsi="Times New Roman"/>
          <w:sz w:val="20"/>
          <w:szCs w:val="20"/>
          <w:color w:val="auto"/>
        </w:rPr>
        <w:t>We are committed to make cash payments in the future pursuant to certain contracts. The following table summarizes certain contractual obligations in place as of December 31, 2024:</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19"/>
                <w:szCs w:val="19"/>
                <w:color w:val="auto"/>
              </w:rPr>
            </w:pPr>
          </w:p>
        </w:tc>
        <w:tc>
          <w:tcPr>
            <w:tcW w:w="108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Year 1</w:t>
            </w:r>
          </w:p>
        </w:tc>
        <w:tc>
          <w:tcPr>
            <w:tcW w:w="60" w:type="dxa"/>
            <w:vAlign w:val="bottom"/>
          </w:tcPr>
          <w:p>
            <w:pPr>
              <w:spacing w:after="0"/>
              <w:rPr>
                <w:sz w:val="19"/>
                <w:szCs w:val="19"/>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2 to 3</w:t>
            </w:r>
          </w:p>
        </w:tc>
        <w:tc>
          <w:tcPr>
            <w:tcW w:w="60" w:type="dxa"/>
            <w:vAlign w:val="bottom"/>
          </w:tcPr>
          <w:p>
            <w:pPr>
              <w:spacing w:after="0"/>
              <w:rPr>
                <w:sz w:val="19"/>
                <w:szCs w:val="19"/>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4 to 5</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More than 5</w:t>
            </w:r>
          </w:p>
        </w:tc>
        <w:tc>
          <w:tcPr>
            <w:tcW w:w="0" w:type="dxa"/>
            <w:vAlign w:val="bottom"/>
          </w:tcPr>
          <w:p>
            <w:pPr>
              <w:spacing w:after="0"/>
              <w:rPr>
                <w:sz w:val="1"/>
                <w:szCs w:val="1"/>
                <w:color w:val="auto"/>
              </w:rPr>
            </w:pPr>
          </w:p>
        </w:tc>
      </w:tr>
      <w:tr>
        <w:trPr>
          <w:trHeight w:val="263"/>
        </w:trPr>
        <w:tc>
          <w:tcPr>
            <w:tcW w:w="3080" w:type="dxa"/>
            <w:vAlign w:val="bottom"/>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0" w:type="dxa"/>
            <w:vAlign w:val="bottom"/>
          </w:tcPr>
          <w:p>
            <w:pPr>
              <w:spacing w:after="0"/>
              <w:rPr>
                <w:sz w:val="1"/>
                <w:szCs w:val="1"/>
                <w:color w:val="auto"/>
              </w:rPr>
            </w:pPr>
          </w:p>
        </w:tc>
      </w:tr>
      <w:tr>
        <w:trPr>
          <w:trHeight w:val="29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obligations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14,109,482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1,256,887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3,626,265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5,682,953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3,543,377</w:t>
            </w:r>
          </w:p>
        </w:tc>
        <w:tc>
          <w:tcPr>
            <w:tcW w:w="0" w:type="dxa"/>
            <w:vAlign w:val="bottom"/>
          </w:tcPr>
          <w:p>
            <w:pPr>
              <w:spacing w:after="0"/>
              <w:rPr>
                <w:sz w:val="1"/>
                <w:szCs w:val="1"/>
                <w:color w:val="auto"/>
              </w:rPr>
            </w:pPr>
          </w:p>
        </w:tc>
      </w:tr>
      <w:tr>
        <w:trPr>
          <w:trHeight w:val="287"/>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16,973,053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1,476,592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1,512,318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1,225,575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12,758,568</w:t>
            </w:r>
          </w:p>
        </w:tc>
        <w:tc>
          <w:tcPr>
            <w:tcW w:w="0" w:type="dxa"/>
            <w:vAlign w:val="bottom"/>
          </w:tcPr>
          <w:p>
            <w:pPr>
              <w:spacing w:after="0"/>
              <w:rPr>
                <w:sz w:val="1"/>
                <w:szCs w:val="1"/>
                <w:color w:val="auto"/>
              </w:rPr>
            </w:pPr>
          </w:p>
        </w:tc>
      </w:tr>
      <w:tr>
        <w:trPr>
          <w:trHeight w:val="30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Lease obligations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838,524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179,485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223,566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194,263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241,210</w:t>
            </w:r>
          </w:p>
        </w:tc>
        <w:tc>
          <w:tcPr>
            <w:tcW w:w="0" w:type="dxa"/>
            <w:vAlign w:val="bottom"/>
          </w:tcPr>
          <w:p>
            <w:pPr>
              <w:spacing w:after="0"/>
              <w:rPr>
                <w:sz w:val="1"/>
                <w:szCs w:val="1"/>
                <w:color w:val="auto"/>
              </w:rPr>
            </w:pPr>
          </w:p>
        </w:tc>
      </w:tr>
      <w:tr>
        <w:trPr>
          <w:trHeight w:val="26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31,921,059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2,912,964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5,362,149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7,102,791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16,543,155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debt obligations</w:t>
      </w:r>
    </w:p>
    <w:p>
      <w:pPr>
        <w:spacing w:after="0" w:line="254"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For information on our long-term debt obligations, see “—Liquidity and Capital Resources—Long-Term Debt.” The amounts included in the table above are based on the total debt balance, scheduled maturities, and interest rates in effect as of December 31, 2024. The principal on the PortoCem BNDES Debentures (defined below) is subject to adjustment based on inflation; the table above only includes the principal balance due as of December 31, 2024, and does not project future amounts that may be due based on inflation.</w:t>
      </w:r>
    </w:p>
    <w:p>
      <w:pPr>
        <w:spacing w:after="0" w:line="204"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19"/>
          <w:szCs w:val="19"/>
          <w:color w:val="auto"/>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spacing w:after="0" w:line="236"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20"/>
          <w:szCs w:val="20"/>
          <w:color w:val="auto"/>
        </w:rPr>
        <w:t>The New Notes issued pursuant to the New 2029 Notes bear interest at the increased rate of 12.00% per annum compared with the 2025 Notes, the 2026 Notes and the 2029 Notes being refinanced, and results in an increase in long-term debt obligations. The increased debt and interest expense has been included in the table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254"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December 31, 2024.</w:t>
      </w:r>
    </w:p>
    <w:p>
      <w:pPr>
        <w:spacing w:after="0" w:line="213"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We have construction purchase commitments in connection with our development projects, including our Fast LNG projects, Puerto Sandino Facility, Barcarena Facility, Santa Catarina Facility, Barcarena Power Plant and PortoCem Power Plant. Commitments included in the table above include commitments under engineering, procurement and construction contracts where a notice to proceed has been issued.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obligations</w:t>
      </w:r>
    </w:p>
    <w:p>
      <w:pPr>
        <w:spacing w:after="0" w:line="254" w:lineRule="exact"/>
        <w:rPr>
          <w:sz w:val="20"/>
          <w:szCs w:val="20"/>
          <w:color w:val="auto"/>
        </w:rPr>
      </w:pPr>
    </w:p>
    <w:p>
      <w:pPr>
        <w:ind w:right="520" w:firstLine="360"/>
        <w:spacing w:after="0" w:line="266" w:lineRule="auto"/>
        <w:rPr>
          <w:sz w:val="20"/>
          <w:szCs w:val="20"/>
          <w:color w:val="auto"/>
        </w:rPr>
      </w:pPr>
      <w:r>
        <w:rPr>
          <w:rFonts w:ascii="Times New Roman" w:cs="Times New Roman" w:eastAsia="Times New Roman" w:hAnsi="Times New Roman"/>
          <w:sz w:val="20"/>
          <w:szCs w:val="20"/>
          <w:color w:val="auto"/>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and a land lease.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ectPr>
          <w:pgSz w:w="12240" w:h="15840" w:orient="portrait"/>
          <w:cols w:equalWidth="0" w:num="1">
            <w:col w:w="9900"/>
          </w:cols>
          <w:pgMar w:left="1180" w:top="218" w:right="11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59" w:lineRule="exact"/>
        <w:rPr>
          <w:sz w:val="20"/>
          <w:szCs w:val="20"/>
          <w:color w:val="auto"/>
        </w:rPr>
      </w:pPr>
    </w:p>
    <w:p>
      <w:pPr>
        <w:ind w:right="60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to our cash flows for the year ended December 31, 2024 and 2023, respectively:</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586,742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824,756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(238,014)</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(2,074,647)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(2,904,143)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829,496</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2,224,568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1,528,950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695,618</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736,663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(550,437)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1,287,100</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operating activities</w:t>
      </w:r>
    </w:p>
    <w:p>
      <w:pPr>
        <w:spacing w:after="0" w:line="254"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Our cash flow provided by operating activities was $586.7 million for the year ended December 31, 2024, which decreased by $238.0 million from cash provided by operating activities of $824.8 million for the year ended December 31, 2023. Our results for the year ended December 31, 2024, when adjusted for non-cash items including loss on extinguishment of debt, decreased by $199.3 million from the year ended December 31, 2023. We also settled a commodity swap during the first quarter of 2023, resulting in a significant cash inflow that did not recur during 2024.</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used in investing activities</w:t>
      </w:r>
    </w:p>
    <w:p>
      <w:pPr>
        <w:spacing w:after="0" w:line="254"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 xml:space="preserve">Our cash flow used in investing activities was $2,074.6 million for the year ended December 31, 2024, which decreased by $829.5 million from cash used in investing activities of $2,904.1 million for the year ended December 31, 2023. Cash outflows from investing activities during the year ended December 31, 2024 were used primarily for continued development of our Fast LNG project and the construction of the PortoCem Power Plant and Barcarena Power Plant. Cash outflows were offset by proceeds from the sale of assets including the sale of turbines and related equipment to PREPA, our investment in Energos, the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xml:space="preserve"> and the Miami Facility.</w:t>
      </w:r>
    </w:p>
    <w:p>
      <w:pPr>
        <w:spacing w:after="0" w:line="208" w:lineRule="exact"/>
        <w:rPr>
          <w:sz w:val="20"/>
          <w:szCs w:val="20"/>
          <w:color w:val="auto"/>
        </w:rPr>
      </w:pPr>
    </w:p>
    <w:p>
      <w:pPr>
        <w:ind w:right="60" w:firstLine="396"/>
        <w:spacing w:after="0" w:line="258" w:lineRule="auto"/>
        <w:rPr>
          <w:sz w:val="20"/>
          <w:szCs w:val="20"/>
          <w:color w:val="auto"/>
        </w:rPr>
      </w:pPr>
      <w:r>
        <w:rPr>
          <w:rFonts w:ascii="Times New Roman" w:cs="Times New Roman" w:eastAsia="Times New Roman" w:hAnsi="Times New Roman"/>
          <w:sz w:val="20"/>
          <w:szCs w:val="20"/>
          <w:color w:val="auto"/>
        </w:rPr>
        <w:t xml:space="preserve">Cash outflows for investing activities during the year ended December 31, 2023 were used for continued development of our Fast LNG project and assets to service the grid stabilization project in Puerto Rico. Cash outflows were offset by proceeds of $100.0 million from the sale of our equity method investment in Hilli LLC in the Hilli Exchange, proceeds received from the sale of Pecém and Muricy, as well as proceeds received from the sale of the </w:t>
      </w:r>
      <w:r>
        <w:rPr>
          <w:rFonts w:ascii="Times New Roman" w:cs="Times New Roman" w:eastAsia="Times New Roman" w:hAnsi="Times New Roman"/>
          <w:sz w:val="20"/>
          <w:szCs w:val="20"/>
          <w:b w:val="1"/>
          <w:bCs w:val="1"/>
          <w:i w:val="1"/>
          <w:iCs w:val="1"/>
          <w:color w:val="auto"/>
        </w:rPr>
        <w:t>Spirit</w:t>
      </w:r>
      <w:r>
        <w:rPr>
          <w:rFonts w:ascii="Times New Roman" w:cs="Times New Roman" w:eastAsia="Times New Roman" w:hAnsi="Times New Roman"/>
          <w:sz w:val="20"/>
          <w:szCs w:val="20"/>
          <w:color w:val="auto"/>
        </w:rPr>
        <w:t xml:space="preserve"> and a portion of our investment in equity securities.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financing activities</w:t>
      </w:r>
    </w:p>
    <w:p>
      <w:pPr>
        <w:spacing w:after="0" w:line="254" w:lineRule="exact"/>
        <w:rPr>
          <w:sz w:val="20"/>
          <w:szCs w:val="20"/>
          <w:color w:val="auto"/>
        </w:rPr>
      </w:pPr>
    </w:p>
    <w:p>
      <w:pPr>
        <w:ind w:right="240" w:firstLine="360"/>
        <w:spacing w:after="0" w:line="255" w:lineRule="auto"/>
        <w:rPr>
          <w:sz w:val="20"/>
          <w:szCs w:val="20"/>
          <w:color w:val="auto"/>
        </w:rPr>
      </w:pPr>
      <w:r>
        <w:rPr>
          <w:rFonts w:ascii="Times New Roman" w:cs="Times New Roman" w:eastAsia="Times New Roman" w:hAnsi="Times New Roman"/>
          <w:sz w:val="20"/>
          <w:szCs w:val="20"/>
          <w:color w:val="auto"/>
        </w:rPr>
        <w:t>Our cash flow provided by financing activities was $2,224.6 million for the year ended December 31, 2024, which increased by $695.6 million from cash provided by financing activities of $1,529.0 million for the year ended December 31, 2023. During the year ended December 31, 2024 we had total borrowings of $5,865 million, with such borrowings primarily used to fund continued development of the Fast LNG project, Barcarena Power Plant, and PortoCem Power Plant. Such borrowings were also used to repay a portion of the 2025 Notes and various asset level financings in Puerto Rico and Brazil. We also repaid our Revolving Facility and short-term borrowings under repurchase agreements, prior to again drawing on these facilities.</w:t>
      </w:r>
    </w:p>
    <w:p>
      <w:pPr>
        <w:spacing w:after="0" w:line="210"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Our cash flow provided by financing activities during the year ended December 31, 2023 included a dividend payment of $626.3 million that was made in January 2023. We have borrowed under our new Term Loan B Agreement, expanded Revolving Facility, Bridge Term Loans, Equipment Notes, Barcarena Debentures, EB-5 Loan, Tugboat Financing, as well as short-term borrowings under repurchase arrangements for total additional borrowings of $3.0 billion. Such borrowings were primarily used to fund the ongoing development of our Fast LNG project and to support our grid stabilization project in Puerto Rico. Increased borrowings during 2023 were offset by repayments of debt totaling $686.5 million, primarily the repayment of the Bridge Term Loans and short-term borrowings under repurchase arrangements.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ectPr>
          <w:pgSz w:w="12240" w:h="15840" w:orient="portrait"/>
          <w:cols w:equalWidth="0" w:num="1">
            <w:col w:w="9900"/>
          </w:cols>
          <w:pgMar w:left="1180" w:top="218" w:right="116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Long-Term Debt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Exchange Transactions</w:t>
      </w:r>
    </w:p>
    <w:p>
      <w:pPr>
        <w:spacing w:after="0" w:line="25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On November 6, 2024, we entered into an exchange and subscription agreement (the “Exchange and Subscription Agreement”) with certain holders (the “Supporting Holders”) of our outstanding 2026 Notes and 2029 Notes (each defined below). Pursuant to the Exchange and Subscription Agreement (i) NFE Financing LLC (“NFE Financing”), an indirect subsidiary of NFE, sold to the Supporting Holders approximately $1,210.4 million aggregate principal amount of NFE Financing’s 12.0% Senior Secured Notes due 2029 (the “New 2029 Notes”) (the transactions described in clause (i), the “Subscription Transactions”) and (ii) NFE Financing issued to the Supporting Holders approximately $1,519.7 million aggregate principal amount of New 2029 Notes in a dollar-for-dollar exchange for a portion of our 2026 Notes and 2029 Notes (the transactions described in clause (ii), the “Exchange Transactions” and together with the Subscription Transactions, the “Refinancing Transactions”).</w:t>
      </w:r>
    </w:p>
    <w:p>
      <w:pPr>
        <w:spacing w:after="0" w:line="209"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NFE Financing issued $2,730.1 million aggregate principal amount of New 2029 Notes pursuant to the Refinancing Transactions. We utilized $886.6 million of these net proceeds from the Subscription Transactions to repay in full the outstanding aggregate principal amount and accrued interest on the 2025 Notes. The remainder of the net proceeds from the New 2029 Notes issued pursuant to the Subscription Transactions will be used for general corporate purposes.</w:t>
      </w:r>
    </w:p>
    <w:p>
      <w:pPr>
        <w:spacing w:after="0" w:line="203"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Pursuant to the Exchange and Subscription Agreement, upon consummation of the Refinancing Transactions, the Supporting Holders received a commitment fee equal to either (i) 5% of the aggregate principal amount of such Supporting Holder’s New 2029 Notes, payable in shares of Class A common stock of the Company, at a price of $8.63 per share (the “Commitment Fee Shares”), (ii) 2% of the aggregate principal amount of such Supporting Holder’s New 2029 Notes, payable in kind in the form of additional New 2029 Notes (the “Commitment Fee Notes”), or (iii) a combination of the foregoing. We have issued 15,700,998 Commitment Fee Shares to the Supporting Holders in satisfaction of its commitment fee obligations under the Exchange and Subscription Agreement, and $5.4 million Commitment Fee Notes were issued and included in the total New 2029 Notes issuance.</w:t>
      </w:r>
    </w:p>
    <w:p>
      <w:pPr>
        <w:spacing w:after="0" w:line="213" w:lineRule="exact"/>
        <w:rPr>
          <w:sz w:val="20"/>
          <w:szCs w:val="20"/>
          <w:color w:val="auto"/>
        </w:rPr>
      </w:pPr>
    </w:p>
    <w:p>
      <w:pPr>
        <w:ind w:right="20" w:firstLine="360"/>
        <w:spacing w:after="0" w:line="272" w:lineRule="auto"/>
        <w:rPr>
          <w:sz w:val="20"/>
          <w:szCs w:val="20"/>
          <w:color w:val="auto"/>
        </w:rPr>
      </w:pPr>
      <w:r>
        <w:rPr>
          <w:rFonts w:ascii="Times New Roman" w:cs="Times New Roman" w:eastAsia="Times New Roman" w:hAnsi="Times New Roman"/>
          <w:sz w:val="19"/>
          <w:szCs w:val="19"/>
          <w:color w:val="auto"/>
        </w:rPr>
        <w:t>The New 2029 Notes were issued pursuant to, and are governed by, an indenture (the “New Notes Indenture”). The New 2029 Notes are senior, secured obligations of NFE Financing, and interest is payable semi-annually in arrears at a rate of 12.0% per annum on May 15 and November 15 of each year, beginning on May 15, 2025. The New Notes will mature on November 15, 2029, provided that the maturity date shall be accelerated to the date that is 91 days prior to the stated maturity date of any of our other indebtedness, subject to certain exceptions as described in the New Notes Indenture, if more than $100.0 million aggregate principal amount of such other indebtedness remains outstanding on such date</w:t>
      </w:r>
      <w:r>
        <w:rPr>
          <w:rFonts w:ascii="Times New Roman" w:cs="Times New Roman" w:eastAsia="Times New Roman" w:hAnsi="Times New Roman"/>
          <w:sz w:val="19"/>
          <w:szCs w:val="19"/>
          <w:color w:val="EE2724"/>
        </w:rPr>
        <w:t>.</w:t>
      </w:r>
    </w:p>
    <w:p>
      <w:pPr>
        <w:spacing w:after="0" w:line="194"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NFE Financing may redeem some or all of the New 2029 Notes at redemption prices set forth in the New Notes Indenture; such redemption prices and any “make-whole” premiums are based on the timing of the redemption. Further, upon the occurrence of certain other events, including change of control and certain distributions from our Brazil business, NFE Financing may be required to make an offer to repurchase all of the New 2029 Notes at prices specified in the New Notes Indenture.</w:t>
      </w:r>
    </w:p>
    <w:p>
      <w:pPr>
        <w:spacing w:after="0" w:line="204"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The New 2029 Notes are guaranteed by NFE Financing’s wholly-owned subsidiary, Bradford County Real Estate Partners LLC (the “New Notes Guarantor”) which owns our land in Wyalusing, Pennsylvania. The New 2029 Notes are secured by first-priority liens on: (a) all assets of NFE Financing, including approximately 45% of the equity in the entity that owns our Brazil business, and 100% of the equity in the New Notes Guarantor and (b) all assets of the New Notes Guarantor.</w:t>
      </w:r>
    </w:p>
    <w:p>
      <w:pPr>
        <w:spacing w:after="0" w:line="204"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The New Notes Indenture provides for customary events of default which include (subject in certain cases to customary grace and cure periods), among others, acceleration and/or defaults of certain of our other indebtedness. The New Notes Indenture and other credit agreements associated with certain intercompany loans of NFE Financing, limit our ability to, among other things, incur additional indebtedness, incur liens that secure indebtedness, make restricted payments, create dividend restrictions and other payment restrictions, sell or transfer certain assets, in each case subject to certain exceptions and qualifications set forth in the New Notes Indenture and other indentures.</w:t>
      </w:r>
    </w:p>
    <w:p>
      <w:pPr>
        <w:spacing w:after="0" w:line="208" w:lineRule="exact"/>
        <w:rPr>
          <w:sz w:val="20"/>
          <w:szCs w:val="20"/>
          <w:color w:val="auto"/>
        </w:rPr>
      </w:pPr>
    </w:p>
    <w:p>
      <w:pPr>
        <w:ind w:right="20" w:firstLine="360"/>
        <w:spacing w:after="0" w:line="278" w:lineRule="auto"/>
        <w:rPr>
          <w:sz w:val="20"/>
          <w:szCs w:val="20"/>
          <w:color w:val="auto"/>
        </w:rPr>
      </w:pPr>
      <w:r>
        <w:rPr>
          <w:rFonts w:ascii="Times New Roman" w:cs="Times New Roman" w:eastAsia="Times New Roman" w:hAnsi="Times New Roman"/>
          <w:sz w:val="19"/>
          <w:szCs w:val="19"/>
          <w:color w:val="auto"/>
        </w:rPr>
        <w:t>The repayment of all of the 2025 Notes and the exchange of a portion of the 2026 Notes and 2029 Notes was treated as an extinguishment, and $11.4 million of unamortized deferred debt issuance costs was recognized as a loss on extinguishment of debt in the Consolidated Statements of Operations and Comprehensive (Loss) Income. Fees paid to lenders, including the issuance of Commitment Fee Shares and Commitment Fee Notes, of $193.4 million were included in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2240" w:h="15840" w:orient="portrait"/>
          <w:cols w:equalWidth="0" w:num="1">
            <w:col w:w="9880"/>
          </w:cols>
          <w:pgMar w:left="1180" w:top="218" w:right="11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20"/>
          <w:szCs w:val="20"/>
          <w:color w:val="auto"/>
        </w:rPr>
        <w:t>the loss on extinguishment of debt. We also recognized $30.5 million of loss on extinguishment of debt, which represents the fair value of the New 2029 Notes issued in excess of the carrying amount of debt exchanged or repaid. The New 2029 Notes are recorded at fair value and fees paid to third parties of $32.3 million will be amortized over the term of the New 2029 Notes.</w:t>
      </w:r>
    </w:p>
    <w:p>
      <w:pPr>
        <w:spacing w:after="0" w:line="203"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conjunction with the Refinancing Transactions, the Supporting Holders agreed to consent to certain amendments to the indentures pursuant to which the 2026 Notes (such indenture, the “Existing 2026 Notes Indenture”) and the 2029 Notes (such indenture, the “Existing 2029 Notes Indenture”) were issued. These amendments allow us to subordinate the liens on certain of the collateral securing the obligations under each of the Existing 2026 Notes Indenture and Existing 2029 Notes Indenture to the liens on the same collateral securing certain intercompany loans due to NFE Financing, and to remove all covenants and events of default that may be removed in compliance with terms of such indentures (the “Indenture Amendments”). The adoption of the Indenture Amendments required the consent of holders of at least 66.67% the outstanding principal amount of each of the 2026 Notes and 2029 Notes. We received the required level of consent, and subsequently executed a supplemental indenture to the Existing 2026 Notes Indenture (the “2026 Supplemental Indenture”) and a supplemental indenture to the Existing 2029 Notes Indenture (the “2029 Supplemental Indenture,” and, together with the 2026 Supplemental Indenture, the “Supplemental Indentures”) effecting the Amendments. The Supplemental Indentures became effective on December 5,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I Credit Agreement</w:t>
      </w:r>
    </w:p>
    <w:p>
      <w:pPr>
        <w:spacing w:after="0" w:line="254" w:lineRule="exact"/>
        <w:rPr>
          <w:sz w:val="20"/>
          <w:szCs w:val="20"/>
          <w:color w:val="auto"/>
        </w:rPr>
      </w:pPr>
    </w:p>
    <w:p>
      <w:pPr>
        <w:ind w:right="60" w:firstLine="360"/>
        <w:spacing w:after="0" w:line="267" w:lineRule="auto"/>
        <w:rPr>
          <w:sz w:val="20"/>
          <w:szCs w:val="20"/>
          <w:color w:val="auto"/>
        </w:rPr>
      </w:pPr>
      <w:r>
        <w:rPr>
          <w:rFonts w:ascii="Times New Roman" w:cs="Times New Roman" w:eastAsia="Times New Roman" w:hAnsi="Times New Roman"/>
          <w:sz w:val="19"/>
          <w:szCs w:val="19"/>
          <w:color w:val="auto"/>
        </w:rPr>
        <w:t>On November 22, 2024, NFE Brazil Investments LLC (“Brazil Parent”), as lender, Wilmington Savings Fund Society, FSB, as the administrative agent and as collateral agent, New Fortress Energy Inc. , as borrower, and certain subsidiaries, as guarantors, entered into a senior secured, multiple-draw term loan credit agreement (“Series I Credit Agreement”) in an aggregate principal amount of approximately $970.0 million (the “Series I Term Loan Facility,” and the loans made under the Series I Term Loan Facility, the “Series I Term Loans”). The initial and subsequent funding of the Series I Term Loans are subject to certain customary conditions. The Series I Term Loans bear interest at a rate of 16.5997% (exclusive of</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2.00% interest being paid-in-kind) per annum, payable semiannually in arrears on May 15 and November 15 of each year, beginning on May 15, 2025. The cash interest rate on the Series I Term Loans will be reduced by an amount to be determined from and after the closing date of the Refinancing Transactions. On November 22, 2024, NFE borrowed $875.0 million of Series I Term Loans to redeem in full the outstanding aggregate principal amount of the 2025 Notes. On December 6, 2024, NFE borrowed the remaining $95.0 million of the Series I Term Loans, the proceeds of which were used to effectuate the transactions contemplated by the Exchange and Subscription Agreement.</w:t>
      </w:r>
    </w:p>
    <w:p>
      <w:pPr>
        <w:spacing w:after="0" w:line="211" w:lineRule="exact"/>
        <w:rPr>
          <w:sz w:val="20"/>
          <w:szCs w:val="20"/>
          <w:color w:val="auto"/>
        </w:rPr>
      </w:pPr>
    </w:p>
    <w:p>
      <w:pPr>
        <w:ind w:right="260" w:firstLine="360"/>
        <w:spacing w:after="0" w:line="258" w:lineRule="auto"/>
        <w:rPr>
          <w:sz w:val="20"/>
          <w:szCs w:val="20"/>
          <w:color w:val="auto"/>
        </w:rPr>
      </w:pPr>
      <w:r>
        <w:rPr>
          <w:rFonts w:ascii="Times New Roman" w:cs="Times New Roman" w:eastAsia="Times New Roman" w:hAnsi="Times New Roman"/>
          <w:sz w:val="20"/>
          <w:szCs w:val="20"/>
          <w:color w:val="auto"/>
        </w:rPr>
        <w:t>The Series I Term Loans will mature on November 15, 2029 and will be payable in full on the maturity date. The obligations under the Series I Credit Agreement are guaranteed, jointly and severally, on a senior secured basis by each subsidiary that is a guarantor under the 2026 Notes and the 2029 Notes. The obligations under the Series I Credit Agreement are secured by substantially the same collateral as the collateral securing the 2026 Notes and the 2029 Notes. An equal priority intercreditor agreement governs the treatment of the collateral.</w:t>
      </w:r>
    </w:p>
    <w:p>
      <w:pPr>
        <w:spacing w:after="0" w:line="204" w:lineRule="exact"/>
        <w:rPr>
          <w:sz w:val="20"/>
          <w:szCs w:val="20"/>
          <w:color w:val="auto"/>
        </w:rPr>
      </w:pPr>
    </w:p>
    <w:p>
      <w:pPr>
        <w:ind w:right="100" w:firstLine="360"/>
        <w:spacing w:after="0" w:line="275" w:lineRule="auto"/>
        <w:rPr>
          <w:sz w:val="20"/>
          <w:szCs w:val="20"/>
          <w:color w:val="auto"/>
        </w:rPr>
      </w:pPr>
      <w:r>
        <w:rPr>
          <w:rFonts w:ascii="Times New Roman" w:cs="Times New Roman" w:eastAsia="Times New Roman" w:hAnsi="Times New Roman"/>
          <w:sz w:val="19"/>
          <w:szCs w:val="19"/>
          <w:color w:val="auto"/>
        </w:rPr>
        <w:t>The Series I Term Loans may be voluntarily prepaid by NFE, in whole or in part, subject to prepayment premiums, as set forth in the Series I Credit Agreement; such redemption prices and any “make-whole” premiums are based on the timing of the redemption. NFE will be required to prepay the Series I Term Loans upon the occurrence of any change of control (which shall include any change of control as defined in the New Notes Indenture and the Brazil Parent Credit Agreement), and with the net proceeds of certain asset sales, condemnations and debt and convertible securities issuances.</w:t>
      </w:r>
    </w:p>
    <w:p>
      <w:pPr>
        <w:spacing w:after="0" w:line="188" w:lineRule="exact"/>
        <w:rPr>
          <w:sz w:val="20"/>
          <w:szCs w:val="20"/>
          <w:color w:val="auto"/>
        </w:rPr>
      </w:pPr>
    </w:p>
    <w:p>
      <w:pPr>
        <w:ind w:right="440" w:firstLine="360"/>
        <w:spacing w:after="0" w:line="281" w:lineRule="auto"/>
        <w:rPr>
          <w:sz w:val="20"/>
          <w:szCs w:val="20"/>
          <w:color w:val="auto"/>
        </w:rPr>
      </w:pPr>
      <w:r>
        <w:rPr>
          <w:rFonts w:ascii="Times New Roman" w:cs="Times New Roman" w:eastAsia="Times New Roman" w:hAnsi="Times New Roman"/>
          <w:sz w:val="20"/>
          <w:szCs w:val="20"/>
          <w:color w:val="auto"/>
        </w:rPr>
        <w:t>The Series I Credit Agreement contains usual and customary representations and warranties, usual and customary affirmative and negative covenants and events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Brazil Parent Credit Agreement</w:t>
      </w:r>
    </w:p>
    <w:p>
      <w:pPr>
        <w:spacing w:after="0" w:line="254"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On November 22, 2024, NFE Financing, as lender, entered into a credit agreement (the “Brazil Parent Credit Agreement”), with Brazil Parent, as the borrower, and Wilmington Savings Fund Society, FSB, as administrative agent and collateral agent.</w:t>
      </w:r>
    </w:p>
    <w:p>
      <w:pPr>
        <w:spacing w:after="0" w:line="195" w:lineRule="exact"/>
        <w:rPr>
          <w:sz w:val="20"/>
          <w:szCs w:val="20"/>
          <w:color w:val="auto"/>
        </w:rPr>
      </w:pPr>
    </w:p>
    <w:p>
      <w:pPr>
        <w:ind w:right="120" w:firstLine="360"/>
        <w:spacing w:after="0" w:line="278" w:lineRule="auto"/>
        <w:rPr>
          <w:sz w:val="20"/>
          <w:szCs w:val="20"/>
          <w:color w:val="auto"/>
        </w:rPr>
      </w:pPr>
      <w:r>
        <w:rPr>
          <w:rFonts w:ascii="Times New Roman" w:cs="Times New Roman" w:eastAsia="Times New Roman" w:hAnsi="Times New Roman"/>
          <w:sz w:val="19"/>
          <w:szCs w:val="19"/>
          <w:color w:val="auto"/>
        </w:rPr>
        <w:t>The Brazil Parent Credit Agreement provides for a senior secured, multiple-draw term loan facility of approximately $970.0 million (the “Brazil Parent Term Loan Facility,” and the term loans made thereunder, the “Brazil Parent Term Loans”), which matures on November 15, 2029. The stated maturity date will be accelerated to a date that is 91 days prior to the stated maturity date of any other indebtedness for borrowed money (including indebtedness deemed issued in a debt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2240" w:h="15840" w:orient="portrait"/>
          <w:cols w:equalWidth="0" w:num="1">
            <w:col w:w="9880"/>
          </w:cols>
          <w:pgMar w:left="1180" w:top="218" w:right="11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exchange), excluding indebtedness under the amended uncommitted letter of credit and reimbursement agreement, if more than $100.0 million in aggregate principal amount of such indebtedness remains outstanding at such time. The initial and subsequent funding of the Brazil Parent Term Loans are subject to certain customary conditions. The Brazil Parent Term Loans bear interest at a rate of 16.5997% (exclusive of 2.00% interest being paid-in-kind) per annum, payable semiannually in arrears on May 15 and November 15 of each year, beginning on May 15, 2025. The cash interest rate on the Brazil Parent Term Loans will be reduced by an amount to be determined from and after the closing of the Refinancing Transactions. The obligations under the Brazil Parent Credit Agreement are secured by substantially all assets of Brazil Parent (including a pledge of the equity interests held by Brazil Parent in NFE Brazil Holdings). On November 22, 2024, Brazil Parent borrowed $875.0 million of Brazil Parent Term Loans, the proceeds of which were advanced to us pursuant to the Series I Credit Agreement for the redemption in full of the outstanding aggregate principal amount of the 2025 Notes. On December 6, 2024, Brazil Parent borrowed the remaining $95.0 million from the Brazil Parent Term Facility. The proceeds of the Brazil Parent Term Loan were used to fund the Series I Term Loan Facility.</w:t>
      </w:r>
    </w:p>
    <w:p>
      <w:pPr>
        <w:spacing w:after="0" w:line="211" w:lineRule="exact"/>
        <w:rPr>
          <w:sz w:val="20"/>
          <w:szCs w:val="20"/>
          <w:color w:val="auto"/>
        </w:rPr>
      </w:pPr>
    </w:p>
    <w:p>
      <w:pPr>
        <w:ind w:right="320" w:firstLine="360"/>
        <w:spacing w:after="0" w:line="256" w:lineRule="auto"/>
        <w:rPr>
          <w:sz w:val="20"/>
          <w:szCs w:val="20"/>
          <w:color w:val="auto"/>
        </w:rPr>
      </w:pPr>
      <w:r>
        <w:rPr>
          <w:rFonts w:ascii="Times New Roman" w:cs="Times New Roman" w:eastAsia="Times New Roman" w:hAnsi="Times New Roman"/>
          <w:sz w:val="20"/>
          <w:szCs w:val="20"/>
          <w:color w:val="auto"/>
        </w:rPr>
        <w:t>The Brazil Parent Term Loans may be voluntarily prepaid by Brazil Parent, subject to prepayment premiums as set forth in the Brazil Parent Credit Agreement; such redemption prices and any “make-whole” premiums are based on the timing of the redemption. In addition, Brazil Parent will be required to prepay the Brazil Parent Term Loans upon the occurrence of certain events (subject to certain premiums as applicable and set forth in the Brazil Parent Credit Agreement), including any change of control and receipt of net proceeds from any prepayment under the Series I Credit Agreement.</w:t>
      </w:r>
    </w:p>
    <w:p>
      <w:pPr>
        <w:spacing w:after="0" w:line="208"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Brazil Parent Credit Agreement contains usual and customary representations and warranties, usual and customary affirmative and negative covenants and events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II Credit Agreement</w:t>
      </w:r>
    </w:p>
    <w:p>
      <w:pPr>
        <w:spacing w:after="0" w:line="2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On December 6, 2024, NFE Financing, as lender, Wilmington Savings Fund Society, FSB, as the administrative agent and as collateral agent, and NFE, as borrower, and certain of our subsidiaries of NFE from time to time party thereto as guarantors, entered into a senior secured term loan credit agreement (“Series II Credit Agreement,” and together with the Series I Credit Agreement and the Brazil Parent Credit Agreement, the “Intercompany Credit Agreements”) in an aggregate principal amount of approximately $1.43 billion (the loan made under the term loan facility, the “Series II Term Loan”). The proceeds will be used by us to consummate the transactions contemplated by the Exchange and Subscription Agreement.</w:t>
      </w:r>
    </w:p>
    <w:p>
      <w:pPr>
        <w:spacing w:after="0" w:line="210"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The Series II Term Loan will mature in November 2029 and is payable in full on the maturity date. The obligations under the Series II Credit Agreement will be guaranteed, jointly and severally, on a senior secured basis by each subsidiary that is a guarantor under the 2026 Notes and the 2029 Notes. The obligations under the Series II Credit Agreement will be secured by substantially the same collateral as the collateral securing the 2026 Notes and the 2029 Notes. An equal priority intercreditor agreement will govern the treatment of the collateral.</w:t>
      </w:r>
    </w:p>
    <w:p>
      <w:pPr>
        <w:spacing w:after="0" w:line="20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Series II Term Loans may be voluntarily prepaid by NFE, in whole or in part, subject to prepayment premiums, as set forth in the Series II Credit Agreement; such redemption prices and any “make-whole” premiums are based on the timing of the redemption. NFE will be required to prepay the Series II Term Loan upon the occurrence of any change of control (which shall include any change of control as defined in the New Notes Indenture and the Brazil Parent Credit Agreement), and with the net proceeds of certain asset sales, condemnations and debt and convertible securities issuances.</w:t>
      </w:r>
    </w:p>
    <w:p>
      <w:pPr>
        <w:spacing w:after="0" w:line="204" w:lineRule="exact"/>
        <w:rPr>
          <w:sz w:val="20"/>
          <w:szCs w:val="20"/>
          <w:color w:val="auto"/>
        </w:rPr>
      </w:pPr>
    </w:p>
    <w:p>
      <w:pPr>
        <w:ind w:right="380" w:firstLine="360"/>
        <w:spacing w:after="0" w:line="281" w:lineRule="auto"/>
        <w:rPr>
          <w:sz w:val="20"/>
          <w:szCs w:val="20"/>
          <w:color w:val="auto"/>
        </w:rPr>
      </w:pPr>
      <w:r>
        <w:rPr>
          <w:rFonts w:ascii="Times New Roman" w:cs="Times New Roman" w:eastAsia="Times New Roman" w:hAnsi="Times New Roman"/>
          <w:sz w:val="20"/>
          <w:szCs w:val="20"/>
          <w:color w:val="auto"/>
        </w:rPr>
        <w:t>The Series II Credit Agreement contains usual and customary representations and warranties, usual and customary affirmative and negative covenants and events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Notes</w:t>
      </w:r>
    </w:p>
    <w:p>
      <w:pPr>
        <w:spacing w:after="0" w:line="254"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In September and December 2020, we issued an aggregate amount of $1,250.0 million of 6.75% senior secured notes in private offerings pursuant to Rule 144A under the Securities Act (the “2025 Notes”). Interest was payable semi-annually in arrears on March 15 and September 15 of each year; no principal payments were due until maturity on September 15, 2025.</w:t>
      </w:r>
    </w:p>
    <w:p>
      <w:pPr>
        <w:spacing w:after="0" w:line="203" w:lineRule="exact"/>
        <w:rPr>
          <w:sz w:val="20"/>
          <w:szCs w:val="20"/>
          <w:color w:val="auto"/>
        </w:rPr>
      </w:pPr>
    </w:p>
    <w:p>
      <w:pPr>
        <w:ind w:right="20" w:firstLine="360"/>
        <w:spacing w:after="0" w:line="286" w:lineRule="auto"/>
        <w:rPr>
          <w:sz w:val="20"/>
          <w:szCs w:val="20"/>
          <w:color w:val="auto"/>
        </w:rPr>
      </w:pPr>
      <w:r>
        <w:rPr>
          <w:rFonts w:ascii="Times New Roman" w:cs="Times New Roman" w:eastAsia="Times New Roman" w:hAnsi="Times New Roman"/>
          <w:sz w:val="19"/>
          <w:szCs w:val="19"/>
          <w:color w:val="auto"/>
        </w:rPr>
        <w:t>In connection with the offering of the 2029 Notes (defined below) in March 2024, we completed a cash tender offer to repurchase $375.0 million of the outstanding 2025 Notes, for an aggregate repurchase price of $376.9 million. The tender offer was closed and the partial repurchase of the 2025 Notes was completed in the first quarter of 2024. The premium over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2240" w:h="15840" w:orient="portrait"/>
          <w:cols w:equalWidth="0" w:num="1">
            <w:col w:w="9880"/>
          </w:cols>
          <w:pgMar w:left="1180" w:top="218" w:right="11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the repurchase price of $1.9 million was recognized as Loss on extinguishment of debt, net in the Consolidated Statements of Operations and Comprehensive (Loss) Income. The remaining outstanding principal under the 2025 Notes was repaid in conjunction with the Refinancing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Notes</w:t>
      </w:r>
    </w:p>
    <w:p>
      <w:pPr>
        <w:spacing w:after="0" w:line="254"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April 2021, we issued $1,500.0 million of 6.50% senior secured notes in a private offering pursuant to Rule 144A under the Securities Act (the “2026 Notes”). Interest is payable semi-annually in arrears on March 31 and September 30 of each year; no principal payments are due until maturity on September 30, 2026. We may redeem the 2026 Notes, in whole or in part, at any time prior to maturity, subject to certain make-whole premiums.</w:t>
      </w:r>
    </w:p>
    <w:p>
      <w:pPr>
        <w:spacing w:after="0" w:line="203" w:lineRule="exact"/>
        <w:rPr>
          <w:sz w:val="20"/>
          <w:szCs w:val="20"/>
          <w:color w:val="auto"/>
        </w:rPr>
      </w:pPr>
    </w:p>
    <w:p>
      <w:pPr>
        <w:ind w:right="140" w:firstLine="360"/>
        <w:spacing w:after="0" w:line="309" w:lineRule="auto"/>
        <w:rPr>
          <w:sz w:val="20"/>
          <w:szCs w:val="20"/>
          <w:color w:val="auto"/>
        </w:rPr>
      </w:pPr>
      <w:r>
        <w:rPr>
          <w:rFonts w:ascii="Times New Roman" w:cs="Times New Roman" w:eastAsia="Times New Roman" w:hAnsi="Times New Roman"/>
          <w:sz w:val="19"/>
          <w:szCs w:val="19"/>
          <w:color w:val="auto"/>
        </w:rPr>
        <w:t>The 2026 Notes are guaranteed, jointly and severally, on a senior secured basis by certain domestic and foreign subsidiaries. Subsequent to the Refinancing Transactions, the 2026 Notes are subject to the 2026 Supplemental Indenture.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2029 Notes</w:t>
      </w:r>
    </w:p>
    <w:p>
      <w:pPr>
        <w:spacing w:after="0" w:line="254"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In March 2024, we issued $750.0 million of 8.75% senior secured notes in a private offering pursuant to Rule 144A under the Securities Act (the “2029 Notes”). Interest is payable semi-annually in arrears on March 15 and September 15 of each year; no principal payments are due until maturity on March 15, 2029. We may redeem the 2029 Notes, in whole or in part, at any time prior to maturity, subject to certain make-whole premiums.</w:t>
      </w:r>
    </w:p>
    <w:p>
      <w:pPr>
        <w:spacing w:after="0" w:line="203"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The 2029 Notes are guaranteed on a senior secured basis by each domestic subsidiary and foreign subsidiary that is a guarantor under the 2026 Notes. Subsequent to the Refinancing Transactions, the 2029 Notes are subject to the 2029 Supplemental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Facility</w:t>
      </w:r>
    </w:p>
    <w:p>
      <w:pPr>
        <w:spacing w:after="0" w:line="2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In April 2021, we entered into a credit agreement (the "Revolving Credit Agreement") for a $200.0 million senior secured revolving credit facility (the "Revolving Facility"). Through December 31, 2023, the Revolving Facility was amended to increase the borrowing capacity to $950.0 million. In May 2024, we entered into an amendment which increased the borrowing capacity by $50.0 million, for a total capacity of $1,000.0 million. The amendments did not impact the interest rate or term of the Revolving Facility, and no deferred costs were written off. As of December 31, 2024 and 2023, $1,000.0 million and $866.6 million was outstanding under the Revolving Facility.</w:t>
      </w:r>
    </w:p>
    <w:p>
      <w:pPr>
        <w:spacing w:after="0" w:line="208"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The borrowings under the Revolving Facility bear interest at a Secured Overnight Financing Rate ("SOFR") based rate plus a margin based upon usage of the Revolving Facility. The rates applicable to outstanding borrowings as of December 31, 2024 and 2023 were 8.22% and 8.29%, respectively. Borrowings under the Revolving Facility may be prepaid, at our option, at any time without premium.</w:t>
      </w:r>
    </w:p>
    <w:p>
      <w:pPr>
        <w:spacing w:after="0" w:line="203" w:lineRule="exact"/>
        <w:rPr>
          <w:sz w:val="20"/>
          <w:szCs w:val="20"/>
          <w:color w:val="auto"/>
        </w:rPr>
      </w:pPr>
    </w:p>
    <w:p>
      <w:pPr>
        <w:ind w:right="20" w:firstLine="360"/>
        <w:spacing w:after="0" w:line="269" w:lineRule="auto"/>
        <w:rPr>
          <w:sz w:val="20"/>
          <w:szCs w:val="20"/>
          <w:color w:val="auto"/>
        </w:rPr>
      </w:pPr>
      <w:r>
        <w:rPr>
          <w:rFonts w:ascii="Times New Roman" w:cs="Times New Roman" w:eastAsia="Times New Roman" w:hAnsi="Times New Roman"/>
          <w:sz w:val="19"/>
          <w:szCs w:val="19"/>
          <w:color w:val="auto"/>
        </w:rPr>
        <w:t>Concurrent with the Refinancing Transactions, we entered into an amendment with certain lenders in the Revolving Facility (the "Consenting Lenders") to extend the maturity of their commitments to October 15, 2027. The Consenting Lenders hold $900.0 million of the total revolving commitments. The applicable margin payable on revolving borrowings to the Consenting Lenders increased by 100 basis points. We are required to reduce the commitments with proceeds from certain assets sales and by certain amounts received from the settlement of our claims following the termination of our contract to provide emergency power services in Puerto Rico (Note 5). Notwithstanding these required reductions, we must reduce commitments for Consenting Lenders to $630.0 million by September 30, 2025, and as such, $270.0 million of the outstanding borrowings under the Revolving Facility have been recognized as current. The remainder of the Revolving Facility will mature in April 2026 with the potential for us to extend the maturity date once for a one-year increment.</w:t>
      </w:r>
    </w:p>
    <w:p>
      <w:pPr>
        <w:spacing w:after="0" w:line="196"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The obligations under the Revolving Facility are guaranteed by certain of our subsidiaries, including those that own our offshore FLNG facility at Altamira ("FLNG1 Project") and Altamira Onshore Project (defined below), and are secured by substantially the same collateral securing the obligations under certain intercompany loans entered into in conjunction with the Refinancing Transactions, as well as the assets comprising the FLNG1 Project and Altamira Onshore Project. We are required to comply with the below covenants under the Revolving Facility and Letter of Credit Facility (defined below):</w:t>
      </w:r>
    </w:p>
    <w:p>
      <w:pPr>
        <w:spacing w:after="0" w:line="208" w:lineRule="exact"/>
        <w:rPr>
          <w:sz w:val="20"/>
          <w:szCs w:val="20"/>
          <w:color w:val="auto"/>
        </w:rPr>
      </w:pPr>
    </w:p>
    <w:p>
      <w:pPr>
        <w:jc w:val="both"/>
        <w:ind w:left="720" w:right="240" w:hanging="370"/>
        <w:spacing w:after="0" w:line="309" w:lineRule="auto"/>
        <w:tabs>
          <w:tab w:leader="none" w:pos="7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Beginning with the fiscal quarter ended March 31, 2025, for quarters in which the Revolving Facility is greater than 50% drawn, the Debt to EBITDA Ratio must be below the following: (i) 8.75 to 1.00, for the fiscal quarter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ectPr>
          <w:pgSz w:w="12240" w:h="15840" w:orient="portrait"/>
          <w:cols w:equalWidth="0" w:num="1">
            <w:col w:w="9880"/>
          </w:cols>
          <w:pgMar w:left="1180" w:top="218" w:right="118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right="100"/>
        <w:spacing w:after="0" w:line="260" w:lineRule="auto"/>
        <w:rPr>
          <w:sz w:val="20"/>
          <w:szCs w:val="20"/>
          <w:color w:val="auto"/>
        </w:rPr>
      </w:pPr>
      <w:r>
        <w:rPr>
          <w:rFonts w:ascii="Times New Roman" w:cs="Times New Roman" w:eastAsia="Times New Roman" w:hAnsi="Times New Roman"/>
          <w:sz w:val="20"/>
          <w:szCs w:val="20"/>
          <w:color w:val="auto"/>
        </w:rPr>
        <w:t>ending March 31, 2025, (ii) 7.25 to 1.00, for the fiscal quarter ending June 30, 2025, (iii) 6.75 to 1.00, for the fiscal quarter ending September 30, 2025, (iv) 6.50 to 1.00, for the fiscal quarter ending December 31, 2025, (v) 7.25 to 1.00, for the fiscal quarters ending March 31, 2026 through September 30, 2026, and (vi) 6.75 to 1.00, for the fiscal quarter ending December 31, 2026 and each fiscal quarter thereafter.</w:t>
      </w:r>
    </w:p>
    <w:p>
      <w:pPr>
        <w:spacing w:after="0" w:line="203" w:lineRule="exact"/>
        <w:rPr>
          <w:sz w:val="20"/>
          <w:szCs w:val="20"/>
          <w:color w:val="auto"/>
        </w:rPr>
      </w:pPr>
    </w:p>
    <w:p>
      <w:pPr>
        <w:ind w:left="720" w:right="100" w:hanging="370"/>
        <w:spacing w:after="0" w:line="26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with fiscal quarter ended March 31, 2025, the Fixed Charge Coverage Ratio must be less than or equal to (i) 0.80 to 1.00, for the fiscal quarter ending March 31, 2025 and (ii) 1.00 to 1.00, for the fiscal quarter ending June 30, 2025 and each fiscal quarter thereafter.</w:t>
      </w:r>
    </w:p>
    <w:p>
      <w:pPr>
        <w:spacing w:after="0" w:line="195" w:lineRule="exact"/>
        <w:rPr>
          <w:rFonts w:ascii="Times New Roman" w:cs="Times New Roman" w:eastAsia="Times New Roman" w:hAnsi="Times New Roman"/>
          <w:sz w:val="20"/>
          <w:szCs w:val="20"/>
          <w:color w:val="auto"/>
        </w:rPr>
      </w:pPr>
    </w:p>
    <w:p>
      <w:pPr>
        <w:ind w:left="720" w:right="20" w:hanging="370"/>
        <w:spacing w:after="0" w:line="26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also required to maintain a minimum consolidated liquidity of (i) $50,000 as of the last day of each month, commencing as of October 31, 2024 and (ii) $100,000 as of the last day of any fiscal quarter, commencing as of December 31, 2024. We were in compliance with these covenants as of December 31, 2024.</w:t>
      </w:r>
    </w:p>
    <w:p>
      <w:pPr>
        <w:spacing w:after="0" w:line="195" w:lineRule="exact"/>
        <w:rPr>
          <w:sz w:val="20"/>
          <w:szCs w:val="20"/>
          <w:color w:val="auto"/>
        </w:rPr>
      </w:pPr>
    </w:p>
    <w:p>
      <w:pPr>
        <w:ind w:right="220" w:firstLine="360"/>
        <w:spacing w:after="0" w:line="281" w:lineRule="auto"/>
        <w:rPr>
          <w:sz w:val="20"/>
          <w:szCs w:val="20"/>
          <w:color w:val="auto"/>
        </w:rPr>
      </w:pPr>
      <w:r>
        <w:rPr>
          <w:rFonts w:ascii="Times New Roman" w:cs="Times New Roman" w:eastAsia="Times New Roman" w:hAnsi="Times New Roman"/>
          <w:sz w:val="20"/>
          <w:szCs w:val="20"/>
          <w:color w:val="auto"/>
        </w:rPr>
        <w:t>The Revolving Credit Agreement contains usual and customary representations and warranties, usual and customary affirmative and negative covenants and events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 of Credit Facility</w:t>
      </w:r>
    </w:p>
    <w:p>
      <w:pPr>
        <w:spacing w:after="0" w:line="254"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In July 2021, we entered into an uncommitted letter of credit and reimbursement agreement (the "Letter of Credit Agreement") with a bank for the issuance of letters of credit for an aggregate amount of up to $75.0 million (the“Letter of Credit Facility”). Through December 31, 2023, the Letter of Credit Facility was amended multiple times to increase the availability to $350.0 million. As of December 31, 2024, the Letter of Credit Facility had a limit of $315,000, and the outstanding letters of credt have an interest rate of 3.35%. We had an unutilized Letter of Credit Facility balance of $69.0 million as at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B Credit Agreement</w:t>
      </w:r>
    </w:p>
    <w:p>
      <w:pPr>
        <w:spacing w:after="0" w:line="2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On August 3, 2023, we entered into a credit agreement (the “Bridge Term Loan Agreement”) pursuant to which the lenders funded term loans (the “Bridge Term Loans”) in an aggregate principal amount of $400.0 million. The Bridge Term Loans were initially set to mature on August 1, 2024 and were payable in full on the maturity date. The Bridge Term Loans bore interest at a per annum rate equal to Adjusted Term SOFR (as defined in the Bridge Term Loan Agreement) plus 3.50%.</w:t>
      </w:r>
    </w:p>
    <w:p>
      <w:pPr>
        <w:spacing w:after="0" w:line="204"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On October 30, 2023, we entered into a credit agreement (the “Term Loan B Agreement”) pursuant to which the lenders funded term loans to in an aggregate principal amount of $856.0 million ("Term Loan B"). Borrowings were issued at a discount, and we received proceeds of $787.5 million. The proceeds from the Term Loan B issuance were used to repay the Bridge Term Loans and may be used for working capital and other general corporate purposes. The Term Loan B will mature on the earliest of (i) October 30, 2028 if the 2026 Notes are refinanced in full prior to their maturity and (ii) July 31, 2026, if any of the 2026 Notes remain outstanding as of such date. Quarterly principal payments of approximately $2.1 million are required beginning March 2024.</w:t>
      </w:r>
    </w:p>
    <w:p>
      <w:pPr>
        <w:spacing w:after="0" w:line="210" w:lineRule="exact"/>
        <w:rPr>
          <w:sz w:val="20"/>
          <w:szCs w:val="20"/>
          <w:color w:val="auto"/>
        </w:rPr>
      </w:pPr>
    </w:p>
    <w:p>
      <w:pPr>
        <w:ind w:right="320" w:firstLine="360"/>
        <w:spacing w:after="0" w:line="260" w:lineRule="auto"/>
        <w:rPr>
          <w:sz w:val="20"/>
          <w:szCs w:val="20"/>
          <w:color w:val="auto"/>
        </w:rPr>
      </w:pPr>
      <w:r>
        <w:rPr>
          <w:rFonts w:ascii="Times New Roman" w:cs="Times New Roman" w:eastAsia="Times New Roman" w:hAnsi="Times New Roman"/>
          <w:sz w:val="20"/>
          <w:szCs w:val="20"/>
          <w:color w:val="auto"/>
        </w:rPr>
        <w:t>The obligations under the Term Loan B are guaranteed by certain of our subsidiaries, including those that own our FLNG1 Project and Altamira Onshore Project (defined below). The Term Loan B is secured by substantially the same collateral as the first lien obligations under the 2026 Notes, the Revolving Facility, and, in addition, is secured by assets compromising our FLNG1 Project.</w:t>
      </w:r>
    </w:p>
    <w:p>
      <w:pPr>
        <w:spacing w:after="0" w:line="203"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The Term Loan B bears interest at a per annum rate equal to Adjusted Term SOFR (as defined in the Term Loan B Agreement) plus 5.0%. We may prepay the Term Loan B at its option subject to prepayment premiums until October 2025 and customary break funding costs. We are required to prepay the Term Loan B with the net proceeds of certain asset sales, condemnations, and debt and convertible securities issuances, in each case subject to certain exceptions and thresholds. Additionally, commencing with the fiscal quarter ending December 31, 2024, we will be required to prepay the Term Loan B with our Excess Cash Flow (as defined in the Term Loan B Agreement).</w:t>
      </w:r>
    </w:p>
    <w:p>
      <w:pPr>
        <w:spacing w:after="0" w:line="208" w:lineRule="exact"/>
        <w:rPr>
          <w:sz w:val="20"/>
          <w:szCs w:val="20"/>
          <w:color w:val="auto"/>
        </w:rPr>
      </w:pPr>
    </w:p>
    <w:p>
      <w:pPr>
        <w:ind w:right="180" w:firstLine="360"/>
        <w:spacing w:after="0" w:line="309" w:lineRule="auto"/>
        <w:rPr>
          <w:sz w:val="20"/>
          <w:szCs w:val="20"/>
          <w:color w:val="auto"/>
        </w:rPr>
      </w:pPr>
      <w:r>
        <w:rPr>
          <w:rFonts w:ascii="Times New Roman" w:cs="Times New Roman" w:eastAsia="Times New Roman" w:hAnsi="Times New Roman"/>
          <w:sz w:val="19"/>
          <w:szCs w:val="19"/>
          <w:color w:val="auto"/>
        </w:rPr>
        <w:t>The Term Loan B Agreement contains usual and customary representations and warranties, and usual and customary affirmative and negative covenants. No financial covenant compliance is required under the Term Loan B Agreement.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2240" w:h="15840" w:orient="portrait"/>
          <w:cols w:equalWidth="0" w:num="1">
            <w:col w:w="9880"/>
          </w:cols>
          <w:pgMar w:left="1180" w:top="218" w:right="11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A Credit Agreement</w:t>
      </w:r>
    </w:p>
    <w:p>
      <w:pPr>
        <w:spacing w:after="0" w:line="254"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In July 2024, we entered into a credit agreement ("Term Loan A Credit Agreement") for a senior secured, multiple draw term loan facility in an aggregate principal amount of up to $700.0 million ("Term Loan A"). Proceeds must be used to pay costs of the construction and development of our onshore FLNG project in Altamira (the “Altamira Onshore Project”). During the year ended December 31, 2024, we drew $350.0 million on the Term Loan A. The remaining commitments for subsequent funding expire on the earliest of June 30, 2026, the date of completion of the Onshore Altamira Project (the “Completion Date”) and the date that the commitments are reduced to zero or terminated.</w:t>
      </w:r>
    </w:p>
    <w:p>
      <w:pPr>
        <w:spacing w:after="0" w:line="208" w:lineRule="exact"/>
        <w:rPr>
          <w:sz w:val="20"/>
          <w:szCs w:val="20"/>
          <w:color w:val="auto"/>
        </w:rPr>
      </w:pPr>
    </w:p>
    <w:p>
      <w:pPr>
        <w:ind w:firstLine="360"/>
        <w:spacing w:after="0" w:line="270" w:lineRule="auto"/>
        <w:rPr>
          <w:sz w:val="20"/>
          <w:szCs w:val="20"/>
          <w:color w:val="auto"/>
        </w:rPr>
      </w:pPr>
      <w:r>
        <w:rPr>
          <w:rFonts w:ascii="Times New Roman" w:cs="Times New Roman" w:eastAsia="Times New Roman" w:hAnsi="Times New Roman"/>
          <w:sz w:val="19"/>
          <w:szCs w:val="19"/>
          <w:color w:val="auto"/>
        </w:rPr>
        <w:t>The obligations under the Term Loan A Credit Agreement are guaranteed, jointly and severally, on a senior secured basis by each subsidiary that is a guarantor under the 2026 Notes, 2029 Notes, our Revolving Facility, our letter of credit facility (the “Letter of Credit Facility”) and our Term Loan B, other than the guarantors comprising the FLNG1 Project (who guarantee the Revolving Facility, the Letter of Credit Facility, and the Term Loan B). The obligations under the Term Loan A Credit Agreement are secured by substantially the same collateral as the collateral securing such facilities, with the exception of the collateral comprising the FLNG1 Project (which secures the Revolving Facility, the Letter of Credit Facility, and the Term Loan B). Additionally, the Term Loan A is guaranteed by the entities, and secured by the assets, comprising the Onshore Altamira Project. An equal priority intercreditor agreement governs the treatment of the collateral.</w:t>
      </w:r>
    </w:p>
    <w:p>
      <w:pPr>
        <w:spacing w:after="0" w:line="19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Term Loan A will mature in July 2027 and is payable in full on the maturity date. In the event that our existing 2026 Notes are not refinanced or repaid at least 60 days prior to maturity, amounts outstanding under the Term Loan A will become due and payable on such date. We may prepay the Term Loan A at its option without premium or penalty at any time subject to customary break funding costs. We are required to prepay the Term Loan A with the net proceeds of certain asset sales, condemnations, debt and convertible securities issuances, and extraordinary receipts related to the Onshore Altamira Project. Additionally, commencing with the first fiscal quarter after the Completion Date, we will be required to prepay the Term Loan A with the Onshore Altamira Project’s Excess Cash Flow (as defined in the Term Loan A Credit Agreement).</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Term Loan A will bear interest at a per annum rate equal to Term SOFR plus 3.75%, or at a base rate plus 2.75%.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interest rate on the Term Loan A will increase by 0.25% every 180 days beginning on June 30, 2025.</w:t>
      </w:r>
    </w:p>
    <w:p>
      <w:pPr>
        <w:spacing w:after="0" w:line="230"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color w:val="auto"/>
        </w:rPr>
        <w:t>The Term Loan A Credit Agreement contains usual and customary representations, warranties and affirmative and negative covenants for financings of this type, including certain representations and warranties related to the Onshore Altamira Project. The Term Loan A Credit Agreement includes certain other covenants related solely to the Onshore Altamira Project, including limitations on capital expenditures, restrictions on additional accounts, and restrictions on amendments or termination of certain material documents related to the Onshore Altamira Project. We must also comply with certain financial covenants consistent with those under the Revolving Facility, including Debt to EBITDA Ratio and minimum consolidated liquidity.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Borrowings</w:t>
      </w:r>
    </w:p>
    <w:p>
      <w:pPr>
        <w:spacing w:after="0" w:line="254"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We may, from time to time, enter into sales and repurchase agreements with a financial institution, whereby we sell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December 31, 2024, we had $179.9 million due under these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Financing Obligation</w:t>
      </w:r>
    </w:p>
    <w:p>
      <w:pPr>
        <w:spacing w:after="0" w:line="254"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In connection with of the Energos Formation Transaction, we entered into long-term time charter agreements for certain vessels for periods of up to 20 years. Vessels chartered to us at the time of closing were classified as finance leases. Additionally, our charter of certain other vessels will commence only upon the expiration of the vessel's existing third-party charters. These forward starting charters prevented the recognition of a sale of the vessels to Energos. As such, we accounted for the Energos Formation Transaction as a failed sale-leaseback and has recorded a financing obligation for consideration received.</w:t>
      </w:r>
    </w:p>
    <w:p>
      <w:pPr>
        <w:spacing w:after="0" w:line="208" w:lineRule="exact"/>
        <w:rPr>
          <w:sz w:val="20"/>
          <w:szCs w:val="20"/>
          <w:color w:val="auto"/>
        </w:rPr>
      </w:pPr>
    </w:p>
    <w:p>
      <w:pPr>
        <w:ind w:right="100" w:firstLine="360"/>
        <w:spacing w:after="0" w:line="286" w:lineRule="auto"/>
        <w:rPr>
          <w:sz w:val="20"/>
          <w:szCs w:val="20"/>
          <w:color w:val="auto"/>
        </w:rPr>
      </w:pPr>
      <w:r>
        <w:rPr>
          <w:rFonts w:ascii="Times New Roman" w:cs="Times New Roman" w:eastAsia="Times New Roman" w:hAnsi="Times New Roman"/>
          <w:sz w:val="19"/>
          <w:szCs w:val="19"/>
          <w:color w:val="auto"/>
        </w:rPr>
        <w:t xml:space="preserve">We continue to be the owner for accounting purposes of vessels included in the Energos Formation Transaction (except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and as such, we recognize revenue and operating expenses related to vessels under charter to third parties. Revenue recognized from these third-party charters form a portion of the debt service for the financing obligation;</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ectPr>
          <w:pgSz w:w="12240" w:h="15840" w:orient="portrait"/>
          <w:cols w:equalWidth="0" w:num="1">
            <w:col w:w="9860"/>
          </w:cols>
          <w:pgMar w:left="1180" w:top="218" w:right="12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at inception of the arrangement, the effective interest rate on this financing obligation was approximately 15.9% and includes the cash flows that Energos receives from these third-party charters. Charter payments due in 2025 include $57.8 million that will be treated as a payment of principal, and this amount is included within the current portion of long-term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Tugboat Financing</w:t>
      </w:r>
    </w:p>
    <w:p>
      <w:pPr>
        <w:spacing w:after="0" w:line="254"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In December 2023, we sold and leased back four tugboat vessels for 15 years receiving proceeds of $46.7 million. ("Tugboat Financing"). The leasebacks of the tugboat vessels were classified as finance leases, and as such, we accounted for the Tugboat Financing as a failed sale-leaseback and has recorded a financing obligation for consideration received. The effective interest rate on this financing obligation is approximately 16.92%.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PortoCem Financings</w:t>
      </w:r>
    </w:p>
    <w:p>
      <w:pPr>
        <w:spacing w:after="0" w:line="254"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As part of the PortoCem Acquisition, we assumed a term loan in the aggregate principal amount of R$141,445 million ($28.1 million based on the exchange rate in effect on the acquisition date) due December 2024, bearing interest at a rate equal to the one-day interbank deposit rate in Brazil plus 5.0% (the "PortoCem BTG Loan"). Lenders under the PortoCem BTG Loan waived acceleration requirements in the event of a change in control in conjunction with the PortoCem Acquisition, and repayment of the PortoCem BTG Loan was required upon the earlier of PortoCem obtaining additional financing or the original maturity date of December 2024.</w:t>
      </w:r>
    </w:p>
    <w:p>
      <w:pPr>
        <w:spacing w:after="0" w:line="208"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In April 2024, PortoCem and a syndicate of banks in Brazil entered into a commitment letter for R$2.9 billion of financing. PortoCem received funding under a short term credit note of R$600 million ("PortoCem Credit Note") from this syndicate that was due in July 2024, and a portion of the proceeds was used to repay the PortoCem BTG Loan.</w:t>
      </w:r>
    </w:p>
    <w:p>
      <w:pPr>
        <w:spacing w:after="0" w:line="195" w:lineRule="exact"/>
        <w:rPr>
          <w:sz w:val="20"/>
          <w:szCs w:val="20"/>
          <w:color w:val="auto"/>
        </w:rPr>
      </w:pPr>
    </w:p>
    <w:p>
      <w:pPr>
        <w:ind w:right="260" w:firstLine="360"/>
        <w:spacing w:after="0" w:line="256" w:lineRule="auto"/>
        <w:rPr>
          <w:sz w:val="20"/>
          <w:szCs w:val="20"/>
          <w:color w:val="auto"/>
        </w:rPr>
      </w:pPr>
      <w:r>
        <w:rPr>
          <w:rFonts w:ascii="Times New Roman" w:cs="Times New Roman" w:eastAsia="Times New Roman" w:hAnsi="Times New Roman"/>
          <w:sz w:val="20"/>
          <w:szCs w:val="20"/>
          <w:color w:val="auto"/>
        </w:rPr>
        <w:t>In May 2024, the PortoCem Credit Note was replaced by a bridge financing agreement that allows PortoCem to borrow up to R$2.9 billion due in October 2025 ("PortoCem Bridge Loan"). PortoCem borrowed R$1.5 billion, and this funding was used to repay the PortoCem Credit Note and to begin the development and construction of a power plant to deliver under the capacity reserve contracts acquired in the PortoCem Acquisition. The PortoCem Bridge Loan bore interest at the one-day interbank deposit futures rate in Brazil plus 4.25%, and no principal payments were required until maturity in October 2025.</w:t>
      </w:r>
    </w:p>
    <w:p>
      <w:pPr>
        <w:spacing w:after="0" w:line="20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November 2024, PortoCem issued R$4.5 billion ($726.8 million based on exchange rates in effect at December 31, 2024) of debentures to BNDES ("PortoCem Debentures"). Borrowings bear interest at 9.15%. No principal or interest payments are due until September 2027; at that point, PortoCem will begin to make semi-annual payments until maturity in September 2040. Proceeds received were utilized to repay the PortoCem Bridge Loan, and the remaining proceeds are restricted to fund the construction of the PortoCem Power Plant.</w:t>
      </w:r>
    </w:p>
    <w:p>
      <w:pPr>
        <w:spacing w:after="0" w:line="204" w:lineRule="exact"/>
        <w:rPr>
          <w:sz w:val="20"/>
          <w:szCs w:val="20"/>
          <w:color w:val="auto"/>
        </w:rPr>
      </w:pPr>
    </w:p>
    <w:p>
      <w:pPr>
        <w:ind w:right="500" w:firstLine="360"/>
        <w:spacing w:after="0" w:line="309" w:lineRule="auto"/>
        <w:rPr>
          <w:sz w:val="20"/>
          <w:szCs w:val="20"/>
          <w:color w:val="auto"/>
        </w:rPr>
      </w:pPr>
      <w:r>
        <w:rPr>
          <w:rFonts w:ascii="Times New Roman" w:cs="Times New Roman" w:eastAsia="Times New Roman" w:hAnsi="Times New Roman"/>
          <w:sz w:val="19"/>
          <w:szCs w:val="19"/>
          <w:color w:val="auto"/>
        </w:rPr>
        <w:t>The PortoCem Debentures contain usual and customary representations and warranties, and usual and customary affirmative and negative covenants. The PortoCem Debentures do not contain any restrictive financial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Financings</w:t>
      </w:r>
    </w:p>
    <w:p>
      <w:pPr>
        <w:spacing w:after="0" w:line="25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In October 2023, certain of our Brazilian subsidiaries entered into two long-term financing arrangements, fully funding the construction of our power plant located in Pará, Brazil (the "Barcarena Power Plant"). The parent of the owner of the Barcarena Power Plant entered into an agreement for the issuance of up to $200 million of convertible debentures maturing in October 2028 ("Barcarena Debentures") and issued $180 million of the Barcarena Debentures prior to December 31, 2023. The remaining series may be issued upon the achievement of certain conditions precedent. Interest on the Barcarena Debentures is due quarterly, and interest accrues at an annual rate of 12.0%, increasing 1.25% each year after the third anniversary of issuance. We are able to prepay the Barcarena Debentures, subject to certain make whole penalties, and we are required to utilize certain excess cash flows from our Brazilian operations to prepay principal.</w:t>
      </w:r>
    </w:p>
    <w:p>
      <w:pPr>
        <w:spacing w:after="0" w:line="213"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20"/>
          <w:szCs w:val="20"/>
          <w:color w:val="auto"/>
        </w:rPr>
        <w:t>The Barcarena Debentures are convertible into shares of one of our indirect Brazilian subsidiaries on the maturity date at the creditors' option, based on the current fair value of this subsidiary's equity at the time of conversion.</w:t>
      </w:r>
    </w:p>
    <w:p>
      <w:pPr>
        <w:spacing w:after="0" w:line="181" w:lineRule="exact"/>
        <w:rPr>
          <w:sz w:val="20"/>
          <w:szCs w:val="20"/>
          <w:color w:val="auto"/>
        </w:rPr>
      </w:pPr>
    </w:p>
    <w:p>
      <w:pPr>
        <w:jc w:val="both"/>
        <w:ind w:right="40" w:firstLine="360"/>
        <w:spacing w:after="0" w:line="286" w:lineRule="auto"/>
        <w:rPr>
          <w:sz w:val="20"/>
          <w:szCs w:val="20"/>
          <w:color w:val="auto"/>
        </w:rPr>
      </w:pPr>
      <w:r>
        <w:rPr>
          <w:rFonts w:ascii="Times New Roman" w:cs="Times New Roman" w:eastAsia="Times New Roman" w:hAnsi="Times New Roman"/>
          <w:sz w:val="19"/>
          <w:szCs w:val="19"/>
          <w:color w:val="auto"/>
        </w:rPr>
        <w:t>The obligations under the Barcarena Debentures are guaranteed by certain indirect Brazilian subsidiaries that own the Barcarena Facility and the Santa Catarina Facility. NFE has also provided a parent company guarantee that will be released once the Barcarena Facility commences commercial operations. Brazilian subsidiaries guaranteeing these obligations are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ectPr>
          <w:pgSz w:w="12240" w:h="15840" w:orient="portrait"/>
          <w:cols w:equalWidth="0" w:num="1">
            <w:col w:w="9880"/>
          </w:cols>
          <w:pgMar w:left="1180" w:top="218" w:right="118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required to comply with customary affirmative and negative covenants, and the Barcarena Debentures also provides for customary events of default, prepayment and cure provisions.</w:t>
      </w:r>
    </w:p>
    <w:p>
      <w:pPr>
        <w:spacing w:after="0" w:line="18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owner of the Barcarena Power Plant entered into a credit agreement with BNDES, the Brazilian Development Bank (the "BNDES Credit Agreement"). We are able to borrow up to $355.6 million under the BNDES Credit Agreement, segregated into three tranches based on the use of proceeds ("BNDES Term Loan"). We borrowed $344.7 million under the BNDES Credit Agreement in 2024. Each tranche bears a different rate of interest ranging from 2.61% to 4.41% plus the fixed rate announced by BNDES. No principal payments are required until April 2026 and are due quarterly thereafter until maturity in 2045. Interest payments prior to April 2026 are made through an increase in the outstanding principal amount and are due quarterly thereafter.</w:t>
      </w:r>
    </w:p>
    <w:p>
      <w:pPr>
        <w:spacing w:after="0" w:line="210"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obligations under the BNDES Credit Agreement are guaranteed by certain indirect Brazilian subsidiaries that are constructing the Barcarena Power Plant, and are secured by the Barcarena Power Plant and receivables under the Barcarena Power Plant's PPAs. These Brazilian subsidiaries are required to comply with customary affirmative and negative covenants, and the BNDES Credit Agreement also provides for customary events of default, prepayment and cure provisions.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South Power 2029 Bonds</w:t>
      </w:r>
    </w:p>
    <w:p>
      <w:pPr>
        <w:spacing w:after="0" w:line="254"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January 2022, NFE South Power Holdings Limited (“South Power”), a wholly owned subsidiary of NFE, entered into an agreement for the issuance of up to $285.0 million secured bonds (“South Power 2029 Bonds”). The South Power 2029 Bonds are secured by, amongst other things, our combined heat and power plant in Clarendon, Jamaica (“CHP Plant”), and NFE has provided a guarantee of the obligations under the South Power 2029 Bonds. As of both December 31, 2024 and 2023, South Power had $221.8 million of South Power 2029 Bonds issued and outstanding.</w:t>
      </w:r>
    </w:p>
    <w:p>
      <w:pPr>
        <w:spacing w:after="0" w:line="204" w:lineRule="exact"/>
        <w:rPr>
          <w:sz w:val="20"/>
          <w:szCs w:val="20"/>
          <w:color w:val="auto"/>
        </w:rPr>
      </w:pPr>
    </w:p>
    <w:p>
      <w:pPr>
        <w:ind w:right="580" w:firstLine="360"/>
        <w:spacing w:after="0" w:line="266" w:lineRule="auto"/>
        <w:rPr>
          <w:sz w:val="20"/>
          <w:szCs w:val="20"/>
          <w:color w:val="auto"/>
        </w:rPr>
      </w:pPr>
      <w:r>
        <w:rPr>
          <w:rFonts w:ascii="Times New Roman" w:cs="Times New Roman" w:eastAsia="Times New Roman" w:hAnsi="Times New Roman"/>
          <w:sz w:val="20"/>
          <w:szCs w:val="20"/>
          <w:color w:val="auto"/>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spacing w:after="0" w:line="195" w:lineRule="exact"/>
        <w:rPr>
          <w:sz w:val="20"/>
          <w:szCs w:val="20"/>
          <w:color w:val="auto"/>
        </w:rPr>
      </w:pPr>
    </w:p>
    <w:p>
      <w:pPr>
        <w:ind w:right="300" w:firstLine="360"/>
        <w:spacing w:after="0" w:line="266" w:lineRule="auto"/>
        <w:rPr>
          <w:sz w:val="20"/>
          <w:szCs w:val="20"/>
          <w:color w:val="auto"/>
        </w:rPr>
      </w:pPr>
      <w:r>
        <w:rPr>
          <w:rFonts w:ascii="Times New Roman" w:cs="Times New Roman" w:eastAsia="Times New Roman" w:hAnsi="Times New Roman"/>
          <w:sz w:val="20"/>
          <w:szCs w:val="20"/>
          <w:color w:val="auto"/>
        </w:rPr>
        <w:t>South Power is required to comply with certain financial covenants as well as customary affirmative and negative covenants. The South Power 2029 Bonds also provide for customary events of default, prepayment and cure provisions. We were in compliance with all covenants as of December 31, 2024 and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Turbine Financing</w:t>
      </w:r>
    </w:p>
    <w:p>
      <w:pPr>
        <w:spacing w:after="0" w:line="254"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May 2024, we executed a loan agreement with a lender to borrow $148.5 million under a promissory note secured by certain turbines owned by a wholly-owned subsidiary of ours (the “Turbine Financing”). The Turbine Financing bears interest at 10.30%, and the principal is partially repayable in monthly installments over the 36-month term of the loan with the balance due upon maturity in June 2027.</w:t>
      </w:r>
    </w:p>
    <w:p>
      <w:pPr>
        <w:spacing w:after="0" w:line="203"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The Turbine Financing contains usual and customary representations and warranties, and usual and customary affirmative and negative covenants. The Turbine Financing does not contain any restrictive financial covenants. We were required to pay a deposit of approximately $6.0 million that will be held by the lender throughout the term of the borrowing recorded in Other non-current assets,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EB-5 Loan Agreement</w:t>
      </w:r>
    </w:p>
    <w:p>
      <w:pPr>
        <w:spacing w:after="0" w:line="25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On July 21, 2023, we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 million,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the obligations under the EB-5 Loan Agreement. In the year ended December 31, 2023, $62.9 million was funded under the EB-5 Loan Agreement, and the remaining availability of $37.1 million was funded during the year ended December 31, 2024.</w:t>
      </w:r>
    </w:p>
    <w:p>
      <w:pPr>
        <w:spacing w:after="0" w:line="213" w:lineRule="exact"/>
        <w:rPr>
          <w:sz w:val="20"/>
          <w:szCs w:val="20"/>
          <w:color w:val="auto"/>
        </w:rPr>
      </w:pPr>
    </w:p>
    <w:p>
      <w:pPr>
        <w:ind w:right="380" w:firstLine="360"/>
        <w:spacing w:after="0" w:line="309" w:lineRule="auto"/>
        <w:rPr>
          <w:sz w:val="20"/>
          <w:szCs w:val="20"/>
          <w:color w:val="auto"/>
        </w:rPr>
      </w:pPr>
      <w:r>
        <w:rPr>
          <w:rFonts w:ascii="Times New Roman" w:cs="Times New Roman" w:eastAsia="Times New Roman" w:hAnsi="Times New Roman"/>
          <w:sz w:val="19"/>
          <w:szCs w:val="19"/>
          <w:color w:val="auto"/>
        </w:rPr>
        <w:t>The EB-5 Loan Agreement contains usual and customary representations and warranties, and usual and customary affirmative and negative covenants. The EB-5 Loan Agreement does not contain any restrictive financial covenants.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ectPr>
          <w:pgSz w:w="12240" w:h="15840" w:orient="portrait"/>
          <w:cols w:equalWidth="0" w:num="1">
            <w:col w:w="9880"/>
          </w:cols>
          <w:pgMar w:left="1180" w:top="218" w:right="11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Critical Accounting Estimates</w:t>
      </w:r>
    </w:p>
    <w:p>
      <w:pPr>
        <w:spacing w:after="0" w:line="257"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us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We evaluate our estimates and related assumptions regularly, and we believe that the accounting policies discussed below are critical to understanding our historical and future performance, as these policies relate to the more significant areas involving management’s judgments and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208"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213"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Geopolitical and other macroeconomic events can substantially impact natural gas and LNG markets, leading to volatility in market pricing. The majority of our LNG supply contracts are based on a natural gas-based index, Henry Hub, plus a contractual spread. We primarily operate under long-term contracts with customers, many of which contain fixed minimum volumes that must be purchased on a “take-or-pay” basis. We limit our exposure to fluctuations in natural gas prices as our pricing in contracts with customers is largely based on the Henry Hub index price plus a contractual spread. Based on the long-term nature of our supply and customer contracts, the nature of the pricing in these contracts and the market value of our underlying assets, changes in the price of natural gas or LNG do not indicate that a recoverability assessment of our assets is necessary. Further, LNG production from our own FLNG facilities will further mitigate our exposure to variability in LNG and natural gas prices.</w:t>
      </w:r>
    </w:p>
    <w:p>
      <w:pPr>
        <w:spacing w:after="0" w:line="209"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We develop the assumptions used in the recoverability assessment based on active contracts, current and future expectations of the global demand for LNG and natural gas, as well as information received from third party industry 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Standards</w:t>
      </w:r>
    </w:p>
    <w:p>
      <w:pPr>
        <w:spacing w:after="0" w:line="257"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For descriptions of recently issued accounting standards, refer to “Note 3. Adoption of new and revised standards” of our notes to consolidated financial statements included in this Annual Report.</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Risks.</w:t>
      </w:r>
    </w:p>
    <w:p>
      <w:pPr>
        <w:spacing w:after="0" w:line="257" w:lineRule="exact"/>
        <w:rPr>
          <w:sz w:val="20"/>
          <w:szCs w:val="20"/>
          <w:color w:val="auto"/>
        </w:rPr>
      </w:pPr>
    </w:p>
    <w:p>
      <w:pPr>
        <w:ind w:right="440" w:firstLine="360"/>
        <w:spacing w:after="0" w:line="281" w:lineRule="auto"/>
        <w:rPr>
          <w:sz w:val="20"/>
          <w:szCs w:val="20"/>
          <w:color w:val="auto"/>
        </w:rPr>
      </w:pPr>
      <w:r>
        <w:rPr>
          <w:rFonts w:ascii="Times New Roman" w:cs="Times New Roman" w:eastAsia="Times New Roman" w:hAnsi="Times New Roman"/>
          <w:sz w:val="20"/>
          <w:szCs w:val="20"/>
          <w:color w:val="auto"/>
        </w:rPr>
        <w:t>In the normal course of business, we encounter several significant types of market risks including commodity and interest rate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Commodity Price Risk</w:t>
      </w:r>
    </w:p>
    <w:p>
      <w:pPr>
        <w:spacing w:after="0" w:line="259" w:lineRule="exact"/>
        <w:rPr>
          <w:sz w:val="20"/>
          <w:szCs w:val="20"/>
          <w:color w:val="auto"/>
        </w:rPr>
      </w:pPr>
    </w:p>
    <w:p>
      <w:pPr>
        <w:ind w:right="100" w:firstLine="360"/>
        <w:spacing w:after="0" w:line="286" w:lineRule="auto"/>
        <w:rPr>
          <w:sz w:val="20"/>
          <w:szCs w:val="20"/>
          <w:color w:val="auto"/>
        </w:rPr>
      </w:pPr>
      <w:r>
        <w:rPr>
          <w:rFonts w:ascii="Times New Roman" w:cs="Times New Roman" w:eastAsia="Times New Roman" w:hAnsi="Times New Roman"/>
          <w:sz w:val="19"/>
          <w:szCs w:val="19"/>
          <w:color w:val="auto"/>
        </w:rPr>
        <w:t>Commodity price risk is the risk of loss arising from adverse changes in market rates and prices. Our exposure to market risk associated with LNG price changes may adversely impact our business. We are able to limit our exposure to fluctuations in natural gas prices as our pricing in contracts with downstream customers is largely based on the Henry Hub</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ectPr>
          <w:pgSz w:w="12240" w:h="15840" w:orient="portrait"/>
          <w:cols w:equalWidth="0" w:num="1">
            <w:col w:w="9880"/>
          </w:cols>
          <w:pgMar w:left="1180" w:top="218" w:right="11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20"/>
          <w:szCs w:val="20"/>
          <w:color w:val="auto"/>
        </w:rPr>
        <w:t>index price plus a contractual spread. We currently do not have any derivative instruments to mitigate the effect of fluctuations in LNG prices on our operations; however, in the future we may enter into derivative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2026 Notes, 2029 Notes, New 2029 Notes, South Power 2029 Bonds, Barcarena Debentures, EB-5 Loan, Portocem Debentures and Turbine Financing (each defined above or in the Annual Report)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$143 million. The sensitivity analysis presented is based on certain simplifying assumptions, including instantaneous change in interest rate and parallel shifts in the yield curve.</w:t>
      </w:r>
    </w:p>
    <w:p>
      <w:pPr>
        <w:spacing w:after="0" w:line="210" w:lineRule="exact"/>
        <w:rPr>
          <w:sz w:val="20"/>
          <w:szCs w:val="20"/>
          <w:color w:val="auto"/>
        </w:rPr>
      </w:pPr>
    </w:p>
    <w:p>
      <w:pPr>
        <w:ind w:right="80" w:firstLine="360"/>
        <w:spacing w:after="0" w:line="286" w:lineRule="auto"/>
        <w:rPr>
          <w:sz w:val="20"/>
          <w:szCs w:val="20"/>
          <w:color w:val="auto"/>
        </w:rPr>
      </w:pPr>
      <w:r>
        <w:rPr>
          <w:rFonts w:ascii="Times New Roman" w:cs="Times New Roman" w:eastAsia="Times New Roman" w:hAnsi="Times New Roman"/>
          <w:sz w:val="19"/>
          <w:szCs w:val="19"/>
          <w:color w:val="auto"/>
        </w:rPr>
        <w:t>Interest under the Term Loan A and Term Loan B have components based on the Secured Overnight Financing Rate ("SOFR"), and the BNDES Term Loan has components based on BNDES fixed rate. A 100-basis point increase or decrease in the market interest rates would decrease or increase our annual interest expense by approximately $16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259" w:lineRule="exact"/>
        <w:rPr>
          <w:sz w:val="20"/>
          <w:szCs w:val="20"/>
          <w:color w:val="auto"/>
        </w:rPr>
      </w:pPr>
    </w:p>
    <w:p>
      <w:pPr>
        <w:ind w:right="220" w:firstLine="360"/>
        <w:spacing w:after="0" w:line="254" w:lineRule="auto"/>
        <w:rPr>
          <w:sz w:val="20"/>
          <w:szCs w:val="20"/>
          <w:color w:val="auto"/>
        </w:rPr>
      </w:pPr>
      <w:r>
        <w:rPr>
          <w:rFonts w:ascii="Times New Roman" w:cs="Times New Roman" w:eastAsia="Times New Roman" w:hAnsi="Times New Roman"/>
          <w:sz w:val="20"/>
          <w:szCs w:val="20"/>
          <w:color w:val="auto"/>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 During 2024, we entered into a series of foreign exchange forward contracts and zero-cost collar options to reduce exchange rate risk associated with U.S. dollar borrowings and expected capital expenditures. As of December 31, 2024, the notional amount of outstanding foreign exchange contracts was approximately $211.5 million.</w:t>
      </w:r>
    </w:p>
    <w:p>
      <w:pPr>
        <w:spacing w:after="0" w:line="213" w:lineRule="exact"/>
        <w:rPr>
          <w:sz w:val="20"/>
          <w:szCs w:val="20"/>
          <w:color w:val="auto"/>
        </w:rPr>
      </w:pPr>
    </w:p>
    <w:p>
      <w:pPr>
        <w:ind w:right="180" w:firstLine="360"/>
        <w:spacing w:after="0" w:line="256" w:lineRule="auto"/>
        <w:rPr>
          <w:sz w:val="20"/>
          <w:szCs w:val="20"/>
          <w:color w:val="auto"/>
        </w:rPr>
      </w:pPr>
      <w:r>
        <w:rPr>
          <w:rFonts w:ascii="Times New Roman" w:cs="Times New Roman" w:eastAsia="Times New Roman" w:hAnsi="Times New Roman"/>
          <w:sz w:val="20"/>
          <w:szCs w:val="20"/>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we may enter into derivative or hedging transactions with third parties to manage our exposure to changes in foreign currency exchange risks as we expand our international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7"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Our Consolidated Financial Statements, together with the report of our independent registered public accounting firm, begin on page F-1 of this Annual Report and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59"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December 31, 2024.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2024 at the reasonable assurance level.</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88</w:t>
      </w:r>
    </w:p>
    <w:p>
      <w:pPr>
        <w:sectPr>
          <w:pgSz w:w="12240" w:h="15840" w:orient="portrait"/>
          <w:cols w:equalWidth="0" w:num="1">
            <w:col w:w="9840"/>
          </w:cols>
          <w:pgMar w:left="1180" w:top="218" w:right="122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59"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There has been no change in our internal control over financial reporting (as defined in Rule 13a-15(f) and Rule 15d-15(f) under the Exchange Act) that occurred during the quarter ended December 31, 2024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0"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As of December 31, 2024, our management assessed the effectiveness of our internal control over financial reporting based on the framework set forth by the Committee of Sponsoring Organizations of the Treadway Commission in “Internal Control – Integrated Framework (2013).” Based on this assessment, management determined that we maintained effective internal control over financial reporting as of December 31, 2024.</w:t>
      </w:r>
    </w:p>
    <w:p>
      <w:pPr>
        <w:spacing w:after="0" w:line="203"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2024 has been audited by EY, an independent registered public accounting firm, as stated in their report, which appears herein.</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ectPr>
          <w:pgSz w:w="12240" w:h="15840" w:orient="portrait"/>
          <w:cols w:equalWidth="0" w:num="1">
            <w:col w:w="9880"/>
          </w:cols>
          <w:pgMar w:left="1180" w:top="218" w:right="11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9"/>
          <w:szCs w:val="19"/>
          <w:color w:val="auto"/>
        </w:rPr>
        <w:t>The information required by this Item 10 is set forth in the Company’s Proxy Statement to be filed with the SEC within 120 days after December 31, 2024 in connection with our 2025 annual meeting of shareholders (the “2025 Proxy Statement”) under the heading “Proposal No. 1 Election of Directors,” the subheadings “Information Concerning Our Directors, Including the Director Nominees,” “Insider Trading Policies and Procedures,” “Code of Conduct” and “The Board and its Committees—Audit Committee,” and the headings “Management” and if applicable, “Security Ownership of Management and Certain Beneficial Owners—Delinquent Section 16(a) Reports”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11 is set forth in the Company’s 2025 Proxy Statement under the headings “Executive Compensation” (other than the information under the subheading “Pay Versus Performance”), “Compensation Committee Report” and “Director Compensation”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Shareholder Matters.</w:t>
      </w:r>
    </w:p>
    <w:p>
      <w:pPr>
        <w:spacing w:after="0" w:line="257"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12 is set forth in the Company’s 2025 Proxy Statement under the headings “Equity Compensation Plan Information” and “Security Ownership of Management and Certain Beneficial Owners”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ind w:right="200" w:firstLine="36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13 is set forth in the Company’s 2025 Proxy Statement under the headings “Certain Relationships and Related Transactions” and “Proposal No. 1 Election of Directors—Determination of Director Independence”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ind w:right="200" w:firstLine="36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14 is set forth in the Company’s 2025 Proxy Statement under the heading “Proposal No. 2 Approval of Appointment of Ernst &amp; Young LLP as Independent Registered Public Accounting Firm— Principal Accountant Fees and Services” and is incorporated herein by reference.</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90</w:t>
      </w:r>
    </w:p>
    <w:p>
      <w:pPr>
        <w:sectPr>
          <w:pgSz w:w="12240" w:h="15840" w:orient="portrait"/>
          <w:cols w:equalWidth="0" w:num="1">
            <w:col w:w="9840"/>
          </w:cols>
          <w:pgMar w:left="1180" w:top="218" w:right="122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5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financial statements of New Fortress Energy Inc. and consolidated subsidiaries are included in Item 8 of this Form 10-K (Form 10-K). Refer to “Index to Financial Statements” set forth of page F-1.</w:t>
      </w:r>
    </w:p>
    <w:p>
      <w:pPr>
        <w:spacing w:after="0" w:line="181"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The report of New Fortress Energy’s independent registered public accounting firm (PCAOB ID:#42) with respect to the above-referenced financial statements and their report on internal control over financial reporting are included in Item 8 and Item 9A of this Form 10-K at the page numbers F-2 and F-4, respectively. Their consent appears as Exhibit 23.1 of this Form 10-K.</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(2) Financial Statement Schedule.</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Schedule II set forth on page F-</w:t>
      </w:r>
      <w:r>
        <w:rPr>
          <w:rFonts w:ascii="Times New Roman" w:cs="Times New Roman" w:eastAsia="Times New Roman" w:hAnsi="Times New Roman"/>
          <w:sz w:val="20"/>
          <w:szCs w:val="20"/>
          <w:u w:val="single" w:color="auto"/>
          <w:color w:val="0000FF"/>
        </w:rPr>
        <w:t>61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2171065</wp:posOffset>
                </wp:positionH>
                <wp:positionV relativeFrom="paragraph">
                  <wp:posOffset>-106680</wp:posOffset>
                </wp:positionV>
                <wp:extent cx="190500" cy="11493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14935"/>
                        </a:xfrm>
                        <a:prstGeom prst="rect">
                          <a:avLst/>
                        </a:prstGeom>
                        <a:solidFill>
                          <a:srgbClr val="FFFFFF"/>
                        </a:solidFill>
                      </wps:spPr>
                      <wps:bodyPr/>
                    </wps:wsp>
                  </a:graphicData>
                </a:graphic>
              </wp:anchor>
            </w:drawing>
          </mc:Choice>
          <mc:Fallback>
            <w:pict>
              <v:rect id="Shape 38" o:spid="_x0000_s1063" style="position:absolute;margin-left:170.95pt;margin-top:-8.3999pt;width:15pt;height: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(b) Exhibits.</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exhibits required to be filed by this Item 15(b) are set forth in the Exhibit Index included below.</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8600" w:type="dxa"/>
            <w:vAlign w:val="bottom"/>
            <w:vMerge w:val="restart"/>
          </w:tcPr>
          <w:p>
            <w:pPr>
              <w:ind w:left="39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64"/>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8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4"/>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Conversion of New Fortress Energy Inc. (incorporated by reference to Exhibit 99.2 to the</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Quarterly Report on Form 10-Q filed with the SEC on August 4, 2020).</w:t>
            </w:r>
          </w:p>
        </w:tc>
        <w:tc>
          <w:tcPr>
            <w:tcW w:w="0" w:type="dxa"/>
            <w:vAlign w:val="bottom"/>
          </w:tcPr>
          <w:p>
            <w:pPr>
              <w:spacing w:after="0"/>
              <w:rPr>
                <w:sz w:val="1"/>
                <w:szCs w:val="1"/>
                <w:color w:val="auto"/>
              </w:rPr>
            </w:pPr>
          </w:p>
        </w:tc>
      </w:tr>
      <w:tr>
        <w:trPr>
          <w:trHeight w:val="55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Certificate of Incorporation of New Fortress Energy Inc. (incorporated by reference to Exhibit 99.3 to the</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Quarterly Report on Form 10-Q filed with the SEC on August 4, 2020).</w:t>
            </w:r>
          </w:p>
        </w:tc>
        <w:tc>
          <w:tcPr>
            <w:tcW w:w="0" w:type="dxa"/>
            <w:vAlign w:val="bottom"/>
          </w:tcPr>
          <w:p>
            <w:pPr>
              <w:spacing w:after="0"/>
              <w:rPr>
                <w:sz w:val="1"/>
                <w:szCs w:val="1"/>
                <w:color w:val="auto"/>
              </w:rPr>
            </w:pPr>
          </w:p>
        </w:tc>
      </w:tr>
      <w:tr>
        <w:trPr>
          <w:trHeight w:val="55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Designations of New Fortress Energy Inc., designating the Company’s 4.8% Series A</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Convertible Preferred Stock, par value $0.01 per share (incorporated by reference to Exhibit 3.1 to the</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Current Report on Form 8-K, filed with the SEC on March 26, 2024).</w:t>
            </w:r>
          </w:p>
        </w:tc>
        <w:tc>
          <w:tcPr>
            <w:tcW w:w="0" w:type="dxa"/>
            <w:vAlign w:val="bottom"/>
          </w:tcPr>
          <w:p>
            <w:pPr>
              <w:spacing w:after="0"/>
              <w:rPr>
                <w:sz w:val="1"/>
                <w:szCs w:val="1"/>
                <w:color w:val="auto"/>
              </w:rPr>
            </w:pPr>
          </w:p>
        </w:tc>
      </w:tr>
      <w:tr>
        <w:trPr>
          <w:trHeight w:val="576"/>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Designations of New Fortress Energy Inc., designating the Company's 4.8% Series B</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Convertible Preferred Stock, par value $0.01 per share (incorporated by reference to Exhibit 3.1 to the</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Current Report on Form 8-K, filed with the SEC on October 2, 2024).</w:t>
            </w:r>
          </w:p>
        </w:tc>
        <w:tc>
          <w:tcPr>
            <w:tcW w:w="0" w:type="dxa"/>
            <w:vAlign w:val="bottom"/>
          </w:tcPr>
          <w:p>
            <w:pPr>
              <w:spacing w:after="0"/>
              <w:rPr>
                <w:sz w:val="1"/>
                <w:szCs w:val="1"/>
                <w:color w:val="auto"/>
              </w:rPr>
            </w:pPr>
          </w:p>
        </w:tc>
      </w:tr>
      <w:tr>
        <w:trPr>
          <w:trHeight w:val="576"/>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Bylaws of New Fortress Energy Inc. (incorporated by reference to Exhibit 99.4 to the Registrant’s</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4, 2020).</w:t>
            </w:r>
          </w:p>
        </w:tc>
        <w:tc>
          <w:tcPr>
            <w:tcW w:w="0" w:type="dxa"/>
            <w:vAlign w:val="bottom"/>
          </w:tcPr>
          <w:p>
            <w:pPr>
              <w:spacing w:after="0"/>
              <w:rPr>
                <w:sz w:val="1"/>
                <w:szCs w:val="1"/>
                <w:color w:val="auto"/>
              </w:rPr>
            </w:pPr>
          </w:p>
        </w:tc>
      </w:tr>
      <w:tr>
        <w:trPr>
          <w:trHeight w:val="640"/>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1†</w:t>
            </w: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Director Restricted Share Unit Award Agreement (incorporated by reference to Exhibit 10.4 to</w:t>
            </w:r>
          </w:p>
        </w:tc>
        <w:tc>
          <w:tcPr>
            <w:tcW w:w="0" w:type="dxa"/>
            <w:vAlign w:val="bottom"/>
          </w:tcPr>
          <w:p>
            <w:pPr>
              <w:spacing w:after="0"/>
              <w:rPr>
                <w:sz w:val="1"/>
                <w:szCs w:val="1"/>
                <w:color w:val="auto"/>
              </w:rPr>
            </w:pPr>
          </w:p>
        </w:tc>
      </w:tr>
      <w:tr>
        <w:trPr>
          <w:trHeight w:val="240"/>
        </w:trPr>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8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Registrant’s Registration Statement on Form S-1/A, filed with the SEC on December 24, 2018).</w:t>
            </w:r>
          </w:p>
        </w:tc>
        <w:tc>
          <w:tcPr>
            <w:tcW w:w="0" w:type="dxa"/>
            <w:vAlign w:val="bottom"/>
          </w:tcPr>
          <w:p>
            <w:pPr>
              <w:spacing w:after="0"/>
              <w:rPr>
                <w:sz w:val="1"/>
                <w:szCs w:val="1"/>
                <w:color w:val="auto"/>
              </w:rPr>
            </w:pPr>
          </w:p>
        </w:tc>
      </w:tr>
      <w:tr>
        <w:trPr>
          <w:trHeight w:val="550"/>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2†</w:t>
            </w: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Share Unit Award Agreement under the Amended and Restated New Fortress Energy Inc.</w:t>
            </w:r>
          </w:p>
        </w:tc>
        <w:tc>
          <w:tcPr>
            <w:tcW w:w="0" w:type="dxa"/>
            <w:vAlign w:val="bottom"/>
          </w:tcPr>
          <w:p>
            <w:pPr>
              <w:spacing w:after="0"/>
              <w:rPr>
                <w:sz w:val="1"/>
                <w:szCs w:val="1"/>
                <w:color w:val="auto"/>
              </w:rPr>
            </w:pPr>
          </w:p>
        </w:tc>
      </w:tr>
      <w:tr>
        <w:trPr>
          <w:trHeight w:val="163"/>
        </w:trPr>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860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2019 Omnibus Incentive Plan (incorporated by reference to Exhibit 10.5 to the Registrant’s Quarterly</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10-Q, filed with the Commission on November 8, 2022).</w:t>
            </w:r>
          </w:p>
        </w:tc>
        <w:tc>
          <w:tcPr>
            <w:tcW w:w="0" w:type="dxa"/>
            <w:vAlign w:val="bottom"/>
          </w:tcPr>
          <w:p>
            <w:pPr>
              <w:spacing w:after="0"/>
              <w:rPr>
                <w:sz w:val="1"/>
                <w:szCs w:val="1"/>
                <w:color w:val="auto"/>
              </w:rPr>
            </w:pPr>
          </w:p>
        </w:tc>
      </w:tr>
      <w:tr>
        <w:trPr>
          <w:trHeight w:val="576"/>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Shareholders’ Agreement, dated February 4, 2019, by and among New Fortress Energy LLC, New</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0" w:type="dxa"/>
            <w:vAlign w:val="bottom"/>
          </w:tcPr>
          <w:p>
            <w:pPr>
              <w:ind w:left="160"/>
              <w:spacing w:after="0" w:line="164" w:lineRule="exact"/>
              <w:rPr>
                <w:sz w:val="20"/>
                <w:szCs w:val="20"/>
                <w:color w:val="auto"/>
              </w:rPr>
            </w:pPr>
            <w:r>
              <w:rPr>
                <w:rFonts w:ascii="Times New Roman" w:cs="Times New Roman" w:eastAsia="Times New Roman" w:hAnsi="Times New Roman"/>
                <w:sz w:val="18"/>
                <w:szCs w:val="18"/>
                <w:color w:val="auto"/>
              </w:rPr>
              <w:t>Fortress Energy Holdings LLC, Wesley R. Edens and Randal A. Nardone (incorporated by reference to</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Exhibit 4.1 to the Registrant’s Current Report on Form 8-K, filed with the SEC on February 5, 2019).</w:t>
            </w:r>
          </w:p>
        </w:tc>
        <w:tc>
          <w:tcPr>
            <w:tcW w:w="0" w:type="dxa"/>
            <w:vAlign w:val="bottom"/>
          </w:tcPr>
          <w:p>
            <w:pPr>
              <w:spacing w:after="0"/>
              <w:rPr>
                <w:sz w:val="1"/>
                <w:szCs w:val="1"/>
                <w:color w:val="auto"/>
              </w:rPr>
            </w:pPr>
          </w:p>
        </w:tc>
      </w:tr>
      <w:tr>
        <w:trPr>
          <w:trHeight w:val="576"/>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Services Agreement, dated February 4, 2019, by and between New Fortress Intermediate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0" w:type="dxa"/>
            <w:vAlign w:val="bottom"/>
          </w:tcPr>
          <w:p>
            <w:pPr>
              <w:ind w:left="160"/>
              <w:spacing w:after="0" w:line="164" w:lineRule="exact"/>
              <w:rPr>
                <w:sz w:val="20"/>
                <w:szCs w:val="20"/>
                <w:color w:val="auto"/>
              </w:rPr>
            </w:pPr>
            <w:r>
              <w:rPr>
                <w:rFonts w:ascii="Times New Roman" w:cs="Times New Roman" w:eastAsia="Times New Roman" w:hAnsi="Times New Roman"/>
                <w:sz w:val="18"/>
                <w:szCs w:val="18"/>
                <w:color w:val="auto"/>
              </w:rPr>
              <w:t>LLC and FIG LLC (incorporated by reference to Exhibit 10.3 to the Registrant’s Current Report on Form</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 filed with the SEC on February 5,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-5345430</wp:posOffset>
            </wp:positionV>
            <wp:extent cx="6311900" cy="5578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extLst>
                    </a:blip>
                    <a:srcRect/>
                    <a:stretch>
                      <a:fillRect/>
                    </a:stretch>
                  </pic:blipFill>
                  <pic:spPr bwMode="auto">
                    <a:xfrm>
                      <a:off x="0" y="0"/>
                      <a:ext cx="6311900" cy="5578475"/>
                    </a:xfrm>
                    <a:prstGeom prst="rect">
                      <a:avLst/>
                    </a:prstGeom>
                    <a:noFill/>
                  </pic:spPr>
                </pic:pic>
              </a:graphicData>
            </a:graphic>
          </wp:anchor>
        </w:drawing>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ectPr>
          <w:pgSz w:w="12240" w:h="15840" w:orient="portrait"/>
          <w:cols w:equalWidth="0" w:num="1">
            <w:col w:w="9860"/>
          </w:cols>
          <w:pgMar w:left="1180" w:top="218" w:right="120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315595</wp:posOffset>
            </wp:positionV>
            <wp:extent cx="6311900" cy="889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
                      <a:extLst>
                        <a:ext uri="{28A0092B-C50C-407E-A947-70E740481C1C}"/>
                      </a:extLst>
                    </a:blip>
                    <a:srcRect/>
                    <a:stretch>
                      <a:fillRect/>
                    </a:stretch>
                  </pic:blipFill>
                  <pic:spPr bwMode="auto">
                    <a:xfrm>
                      <a:off x="0" y="0"/>
                      <a:ext cx="6311900" cy="8899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5†</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Indemnification Agreement (Edens) (incorporated by reference to Exhibit 10.4 to the Registrant’s Current</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6†</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(Guinta) (incorporated by reference to Exhibit 10.5 to the Registrant’s</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7†</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(Catterall) (incorporated by reference to Exhibit 10.7 to the Registrant’s</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8†</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(Grain) (incorporated by reference to Exhibit 10.8 to the Registrant’s Current</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9†</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(Griffin) (incorporated by reference to Exhibit 10.9 to the Registrant’s</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10†</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(Mack) (incorporated by reference to Exhibit 10.10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11†</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(Nardone) (incorporated by reference to Exhibit 10.11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12†</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(Wanner) (incorporated by reference to Exhibit 10.12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13†</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Indemnification Agreement (Jay) (incorporated by reference to Exhibit 10.15 to the Registrant's Quarterly</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Report on Form 10-Q, filed with the SEC on May 4, 2023).</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14†</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dated as of March 17, 2019, by and between New Fortress Energy LLC and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Yunyoung Shin (incorporated by reference to Exhibit 10.29 to the Registrant’s Annual Report on Form</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10-K, filed with the SEC on March 26, 2019).</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15</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Letter Agreement, dated as of December 3, 2019, by and between NFE Management LLC and Yunyoung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Shin (incorporated by reference to Exhibit 10.3 to the Registrant’s Quarterly Report on Form 10-Q, filed</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with the SEC on May 6, 2020).</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16</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Letter Agreement, dated as of March 14, 2017, by and between NFE Management LLC and Christopher</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S. Guinta (incorporated by reference to Exhibit 10.17 to the Registrant’s Annual Report on Form 10-K,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March 1, 2023).</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17</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April 12, 2021, by and among the Company, an issuer, the subsidiary guarantors from</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time to time party thereto, and U.S. Bank National Association, as trustee and as notes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4.1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April 12, 2021).</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18</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Pledge and Security Agreement, dated April 12, 2021, by and among the Company, the subsidiary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and U.S. Bank National Association, as notes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4.2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April 12, 2021).</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19</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First Supplemental Indenture, dated as of June 11, 2021, between Golar GP LLC (now known as NFE GP</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LLC), as Guaranteeing Subsidiary, and U.S. Bank Trust Company, National Association (as successor in</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interest to U.S. Bank National Association), as trustee (incorporated by reference to Exhibit 10.29 to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bl>
    <w:p>
      <w:pPr>
        <w:spacing w:after="0" w:line="200" w:lineRule="exact"/>
        <w:rPr>
          <w:sz w:val="20"/>
          <w:szCs w:val="20"/>
          <w:color w:val="auto"/>
        </w:rPr>
      </w:pP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92</w:t>
      </w:r>
    </w:p>
    <w:p>
      <w:pPr>
        <w:sectPr>
          <w:pgSz w:w="12240" w:h="15840" w:orient="portrait"/>
          <w:cols w:equalWidth="0" w:num="1">
            <w:col w:w="9820"/>
          </w:cols>
          <w:pgMar w:left="1180" w:top="218" w:right="124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315595</wp:posOffset>
            </wp:positionV>
            <wp:extent cx="6311900" cy="8509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a:extLst>
                        <a:ext uri="{28A0092B-C50C-407E-A947-70E740481C1C}"/>
                      </a:extLst>
                    </a:blip>
                    <a:srcRect/>
                    <a:stretch>
                      <a:fillRect/>
                    </a:stretch>
                  </pic:blipFill>
                  <pic:spPr bwMode="auto">
                    <a:xfrm>
                      <a:off x="0" y="0"/>
                      <a:ext cx="6311900" cy="8509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20</w:t>
            </w:r>
          </w:p>
        </w:tc>
        <w:tc>
          <w:tcPr>
            <w:tcW w:w="100" w:type="dxa"/>
            <w:vAlign w:val="bottom"/>
          </w:tcPr>
          <w:p>
            <w:pPr>
              <w:spacing w:after="0"/>
              <w:rPr>
                <w:sz w:val="19"/>
                <w:szCs w:val="19"/>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Supplemental Indenture, dated as of September 13, 2021, between NFE Mexico Power Holdings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Limited and NFE Mexico Terminal Holdings Limited, as Guaranteeing Subsidiaries, and U.S. Bank Trust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Company, National Association (as successor in interest to U.S. Bank National Association), as trustee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10.30 to the Registrant’s Annual Report on Form 10-K,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March 1,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21</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Supplemental Indenture, dated as of November 24, 2021, between NFE International Shipping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LLC, NFE Global Shipping LLC, NFE Grand Shipping LLC and NFE International Holdings Limited,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Guaranteeing Subsidiaries, and U.S. Bank Trust Company, National Association (as successor in interest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to U.S. Bank National Association), as trustee (incorporated by reference to Exhibit 10.31 to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22</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Supplemental Indenture, dated as of March 23, 2022, between NFE UK Holdings Limited, NFE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Global Holdings Limited and NFE Bermuda Holdings Limited, as Guaranteeing Subsidiaries, and U.S.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Bank Trust Company, National Association (as successor in interest to U.S. Bank National Association),</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as trustee (incorporated by reference to Exhibit 10.32 to the Registrant’s Annual Report on Form 10-K,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March 1,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23</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Fifth Supplemental Indenture, dated as of December 22, 2022, between NFE Andromeda Chartering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LLC, as Guaranteeing Subsidiary, and U.S. Bank Trust Company, National Association (as successor in</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interest to U.S. Bank National Association), as trustee (incorporated by reference to Exhibit 10.33 to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24*</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Sixth Supplemental Indenture, dated as of October 18, 2024, between NFE International Holdings 1</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Limited and NFE International Holdings 1 Limited (each a “Guaranteeing Subsidiary”) as Guaranteeing</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Subsidiaries and U.S. Bank Trust Company, National Association (as successor in interest to U.S. Bank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National Association).</w:t>
            </w: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25*</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Seventh Supplemental Indenture, dated as of December 5, 2024, between the various Guaranteeing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Subsidiaries party thereto and U.S. Bank Trust Company, National Association (as successor in interest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U.S. Bank National Association), as trustee.</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26</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Credit Agreement, dated as of April 15, 2021, by and among the Company, as the borrower,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and issuing banks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10.2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April 21, 2021).</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27</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amendment to Credit Agreement, dated as of July 16, 2021 to the Credit Agreement, dated as of</w:t>
            </w:r>
          </w:p>
        </w:tc>
      </w:tr>
      <w:tr>
        <w:trPr>
          <w:trHeight w:val="191"/>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40" w:type="dxa"/>
            <w:vAlign w:val="bottom"/>
          </w:tcPr>
          <w:p>
            <w:pPr>
              <w:ind w:left="740"/>
              <w:spacing w:after="0" w:line="191" w:lineRule="exact"/>
              <w:rPr>
                <w:sz w:val="20"/>
                <w:szCs w:val="20"/>
                <w:color w:val="auto"/>
              </w:rPr>
            </w:pPr>
            <w:r>
              <w:rPr>
                <w:rFonts w:ascii="Times New Roman" w:cs="Times New Roman" w:eastAsia="Times New Roman" w:hAnsi="Times New Roman"/>
                <w:sz w:val="20"/>
                <w:szCs w:val="20"/>
                <w:color w:val="auto"/>
              </w:rPr>
              <w:t>April 15, 2021, by and among the Company, as the borrower, the guarantors from time to time partly</w:t>
            </w:r>
          </w:p>
        </w:tc>
      </w:tr>
      <w:tr>
        <w:trPr>
          <w:trHeight w:val="214"/>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40" w:type="dxa"/>
            <w:vAlign w:val="bottom"/>
          </w:tcPr>
          <w:p>
            <w:pPr>
              <w:ind w:left="740"/>
              <w:spacing w:after="0" w:line="214" w:lineRule="exact"/>
              <w:rPr>
                <w:sz w:val="20"/>
                <w:szCs w:val="20"/>
                <w:color w:val="auto"/>
              </w:rPr>
            </w:pPr>
            <w:r>
              <w:rPr>
                <w:rFonts w:ascii="Times New Roman" w:cs="Times New Roman" w:eastAsia="Times New Roman" w:hAnsi="Times New Roman"/>
                <w:sz w:val="20"/>
                <w:szCs w:val="20"/>
                <w:color w:val="auto"/>
                <w:w w:val="99"/>
              </w:rPr>
              <w:t>thereto, the several lenders and issuing banks from time to time partly thereto, and Morgan Stanley Senior</w:t>
            </w:r>
          </w:p>
        </w:tc>
      </w:tr>
      <w:tr>
        <w:trPr>
          <w:trHeight w:val="214"/>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40" w:type="dxa"/>
            <w:vAlign w:val="bottom"/>
          </w:tcPr>
          <w:p>
            <w:pPr>
              <w:ind w:left="740"/>
              <w:spacing w:after="0" w:line="214" w:lineRule="exact"/>
              <w:rPr>
                <w:sz w:val="20"/>
                <w:szCs w:val="20"/>
                <w:color w:val="auto"/>
              </w:rPr>
            </w:pPr>
            <w:r>
              <w:rPr>
                <w:rFonts w:ascii="Times New Roman" w:cs="Times New Roman" w:eastAsia="Times New Roman" w:hAnsi="Times New Roman"/>
                <w:sz w:val="20"/>
                <w:szCs w:val="20"/>
                <w:color w:val="auto"/>
              </w:rPr>
              <w:t>Funding, Inc., as administrative agent (incorporated by reference to Exhibit 10.30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 2022).</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28</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to Credit Agreement, dated as of February 28, 2022 to the Credit Agreement, dated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as 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Morgan Stanley Senior</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Funding, Inc., as administrative agent and collateral agent (incorporated by reference to Exhibit 10.31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Registrant’s Annual Report on Form 10-K, filed with the SEC on March 1, 2022).</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29</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Amendment to Credit Agreement, dated as of May 4, 2022 to the Credit Agreement, dated as of</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Morgan Stanley Senior</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Funding, Inc., as administrative agent and collateral agent (incorporated by reference to Exhibit 10.32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Registrant’s Quarterly Report on Form 10-Q, filed with the SEC on May 6, 2022).</w:t>
            </w:r>
          </w:p>
        </w:tc>
      </w:tr>
    </w:tbl>
    <w:p>
      <w:pPr>
        <w:spacing w:after="0" w:line="200" w:lineRule="exact"/>
        <w:rPr>
          <w:sz w:val="20"/>
          <w:szCs w:val="20"/>
          <w:color w:val="auto"/>
        </w:rPr>
      </w:pP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93</w:t>
      </w:r>
    </w:p>
    <w:p>
      <w:pPr>
        <w:sectPr>
          <w:pgSz w:w="12240" w:h="15840" w:orient="portrait"/>
          <w:cols w:equalWidth="0" w:num="1">
            <w:col w:w="9840"/>
          </w:cols>
          <w:pgMar w:left="1180" w:top="218" w:right="122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315595</wp:posOffset>
            </wp:positionV>
            <wp:extent cx="6311900" cy="8737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a:extLst>
                        <a:ext uri="{28A0092B-C50C-407E-A947-70E740481C1C}"/>
                      </a:extLst>
                    </a:blip>
                    <a:srcRect/>
                    <a:stretch>
                      <a:fillRect/>
                    </a:stretch>
                  </pic:blipFill>
                  <pic:spPr bwMode="auto">
                    <a:xfrm>
                      <a:off x="0" y="0"/>
                      <a:ext cx="6311900" cy="87376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30</w:t>
            </w:r>
          </w:p>
        </w:tc>
        <w:tc>
          <w:tcPr>
            <w:tcW w:w="100" w:type="dxa"/>
            <w:vAlign w:val="bottom"/>
          </w:tcPr>
          <w:p>
            <w:pPr>
              <w:spacing w:after="0"/>
              <w:rPr>
                <w:sz w:val="19"/>
                <w:szCs w:val="19"/>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Amendment to Credit Agreement, dated as of February 7, 2023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10.38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31</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Fifth Amendment to Credit Agreement, dated as of September 15, 2023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10.39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10-Q, filed with the SEC on November 9,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32</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Sixth Amendment to Credit Agreement, dated as of December 18, 2023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10.40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February 29, 2024).</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33</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Seventh Amendment to Credit Agreement, dated as of May 3, 2024 to the Credit Agreement, dated as of</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10.41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9, 2024).</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34</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Amended and Restated Eighth Amendment to Credit Agreement, dated as of September 30, 2024 to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Credit Agreement, dated as of April 15, 2021, by and among the Company, as the borrower, the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guarantors from time to time party thereto, the several lenders and issuing banks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MUFG Bank Ltd., as administrative agent and collateral agent (incorporated by reference to</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Exhibit 10.42 to the Registrant's Quarterly Report on Form 10-Q, filed with the SEC on November 12,</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2024).</w:t>
            </w:r>
          </w:p>
        </w:tc>
      </w:tr>
      <w:tr>
        <w:trPr>
          <w:trHeight w:val="57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35*</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Ninth Amendment to Credit Agreement, dated as of November 6, 2024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administrative agent and collateral agent.</w:t>
            </w: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36*</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Tenth Amendment to Credit Agreement, dated as of November 22, 2024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administrative agent and collateral agent.</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37</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Equity Purchase and Contribution Agreement, dated as of July 2, 2022, by and among Golar LNG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Partners LP and Hygo Energy Transition Ltd., as Sellers, AP Neptune Holdings Ltd, as Purchaser,</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Floating Infrastructure Holdings LLC, as the Company, and Floating Infrastructure Intermediate LLC,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Holdco Pledgor, and Floating Infrastructure Holdings finance LLC, as Borrower, and New Fortress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Energy Inc.(incorporated by reference to Exhibit 10.39 to Registrant’s Quarterly Report on Form 10-Q,</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August 5, 2022).</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38</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Uncommitted Letter of Credit and Reimbursement Agreement, dated as of July 16, 2021, by and among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the Company, as borrower, each of the guarantors party thereto, the lenders and issuing banks party</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thereto and Natixis, New York Branch, as administrative agent and as collateral agent.</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39</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to Uncommitted Letter of Credit and Reimbursement Agreement, dated as of July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27, 2022 to the Uncommitted Letter of Credit and Reimbursement Agreement, dated as of July 16, 2021,,</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dated July 27, 2022, by and among the Company, as borrower, each of the guarantors party thereto, the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lenders and issuing banks party thereto and Natixis, New York Branch, as administrative agent and as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collateral agent</w:t>
            </w:r>
          </w:p>
        </w:tc>
      </w:tr>
    </w:tbl>
    <w:p>
      <w:pPr>
        <w:spacing w:after="0" w:line="200" w:lineRule="exact"/>
        <w:rPr>
          <w:sz w:val="20"/>
          <w:szCs w:val="20"/>
          <w:color w:val="auto"/>
        </w:rPr>
      </w:pP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94</w:t>
      </w:r>
    </w:p>
    <w:p>
      <w:pPr>
        <w:sectPr>
          <w:pgSz w:w="12240" w:h="15840" w:orient="portrait"/>
          <w:cols w:equalWidth="0" w:num="1">
            <w:col w:w="9840"/>
          </w:cols>
          <w:pgMar w:left="1180" w:top="218" w:right="122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315595</wp:posOffset>
            </wp:positionV>
            <wp:extent cx="6311900" cy="8661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extLst>
                    </a:blip>
                    <a:srcRect/>
                    <a:stretch>
                      <a:fillRect/>
                    </a:stretch>
                  </pic:blipFill>
                  <pic:spPr bwMode="auto">
                    <a:xfrm>
                      <a:off x="0" y="0"/>
                      <a:ext cx="6311900" cy="8661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40</w:t>
            </w:r>
          </w:p>
        </w:tc>
        <w:tc>
          <w:tcPr>
            <w:tcW w:w="100" w:type="dxa"/>
            <w:vAlign w:val="bottom"/>
          </w:tcPr>
          <w:p>
            <w:pPr>
              <w:spacing w:after="0"/>
              <w:rPr>
                <w:sz w:val="19"/>
                <w:szCs w:val="19"/>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Incremental Joinder Agreement Regarding to Uncommitted Letter of Credit and Reimbursement</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Agreement, dated February 6, 2023, by and among the Company, as the borrower each of the guarantors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party thereto, the lenders and issuing banks party thereto and Natixis, New York Branch,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(incorporated by reference to Exhibit 10.45 to the Registrant’s Annual Report 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Form 10-K, filed with the SEC on March 1,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41</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Incremental Joinder Agreement Regarding to Uncommitted Letter of Credit and Reimbursement</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Agreement, dated November 2, 2023, by and among the Company, as borrower, each of the guarantors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party thereto, the lenders and issuing bank party thereto and Natixis, New York Branch, as administrative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agent (incorporated by reference to Exhibit 10.44 to the Registrant's Annual Report on Form 10-K, filed</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with the SEC on February 29, 2024).</w:t>
            </w:r>
          </w:p>
        </w:tc>
      </w:tr>
      <w:tr>
        <w:trPr>
          <w:trHeight w:val="62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42</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Third Amendment to Uncommitted Letter of Credit and Reimbursement Agreement, dated May 17, 2024,</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by and among the Company, as borrower, each of the guarantors party thereto, the lenders and issuing</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banks party thereto and Natixis, New York Branch, as administrative agent and as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(incorporated by reference to Exhibit 10.46 to the Registrant’s Quarterly Report on Form 10-Q,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August 9, 2024).</w:t>
            </w:r>
          </w:p>
        </w:tc>
      </w:tr>
      <w:tr>
        <w:trPr>
          <w:trHeight w:val="59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43</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Amendment to Uncommitted Letter of Credit and Reimbursement Agreement, dated September</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30, 2024, by and among the Company, the guarantors party thereto, the lenders and issuing banks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Natixis, New York Branch, as administrative agent and as collateral agent (incorporated by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reference to Exhibit 10.48 to the Registrant’s Quarterly Report on Form 10-Q, filed with the SEC 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November 12, 2024).</w:t>
            </w:r>
          </w:p>
        </w:tc>
      </w:tr>
      <w:tr>
        <w:trPr>
          <w:trHeight w:val="62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44*</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Fifth Amendment to Uncommitted Letter of Credit and Reimbursement Agreement, dated November 6,</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2024, by and among the Company, the guarantors party thereto, the lenders and issuing banks party</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thereto and Natixis, New York Branch, as administrative agent and as collateral agent.</w:t>
            </w:r>
          </w:p>
        </w:tc>
      </w:tr>
      <w:tr>
        <w:trPr>
          <w:trHeight w:val="57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45*</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Sixth Amendment to Uncommitted Letter of Credit and Reimbursement Agreement, dated November 22,</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2024, by and among the Company, the guarantors party thereto, the lenders and issuing banks party</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thereto and Natixis, New York Branch, as administrative agent and as collateral agent.</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46</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Credit Agreement, dated as of October 30, 2023, by and among the Company, as the borrower,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from time to time party thereto, and</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Morgan Stanley Senior Funding Inc., as administrative agent and collateral agent (incorporated by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reference to Exhibit 10.45 to the Registrant's Annual Report on Form 10-K, filed with the SEC 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47</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March 8, 2024, by and among New Fortress Energy Inc., the subsidiary guarantors from</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time to time party thereto, and U.S. Bank Trust Company, National Association, as trustee and as notes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collateral agent (incorporated by reference to Exhibit 4.1 to the Registrant’s Current Report on Form 8-K,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March 8, 2024).</w:t>
            </w:r>
          </w:p>
        </w:tc>
      </w:tr>
      <w:tr>
        <w:trPr>
          <w:trHeight w:val="54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48*</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Supplemental Indenture, dated as of October 18, 2024, between NFE International Holdings 1</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Limited and NFE International Holdings 2 Limited, as Guaranteeing Subsidiaries, and U.S. Bank Trust</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Company, National Association, as trustee.</w:t>
            </w:r>
          </w:p>
        </w:tc>
      </w:tr>
      <w:tr>
        <w:trPr>
          <w:trHeight w:val="54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49*</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Second Supplemental Indenture, dated as of December 5, 2024, by and among the Company, as issuer, by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and among New Fortress Energy Inc., as issuer, the guarantors party thereto and U.S. Bank Trust</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Company, National Association, as trustee.</w:t>
            </w:r>
          </w:p>
        </w:tc>
      </w:tr>
      <w:tr>
        <w:trPr>
          <w:trHeight w:val="54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50</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Pledge and Security Agreement, dated March 8, 2024, by and among the Company, the subsidiary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guarantors, from time to time party thereto, and U.S. Bank Trust Company, National Association,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notes collateral agent (incorporated by reference to Exhibit 4.2 to the Registrant’s Current Report 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Form 8-K, filed with the SEC on March 8, 2024).</w:t>
            </w:r>
          </w:p>
        </w:tc>
      </w:tr>
    </w:tbl>
    <w:p>
      <w:pPr>
        <w:spacing w:after="0" w:line="200" w:lineRule="exact"/>
        <w:rPr>
          <w:sz w:val="20"/>
          <w:szCs w:val="20"/>
          <w:color w:val="auto"/>
        </w:rPr>
      </w:pP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95</w:t>
      </w:r>
    </w:p>
    <w:p>
      <w:pPr>
        <w:sectPr>
          <w:pgSz w:w="12240" w:h="15840" w:orient="portrait"/>
          <w:cols w:equalWidth="0" w:num="1">
            <w:col w:w="9820"/>
          </w:cols>
          <w:pgMar w:left="1180" w:top="218" w:right="124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51</w:t>
            </w:r>
          </w:p>
        </w:tc>
        <w:tc>
          <w:tcPr>
            <w:tcW w:w="100" w:type="dxa"/>
            <w:vAlign w:val="bottom"/>
          </w:tcPr>
          <w:p>
            <w:pPr>
              <w:spacing w:after="0"/>
              <w:rPr>
                <w:sz w:val="19"/>
                <w:szCs w:val="19"/>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Credit Agreement, dated as of July 19, 2024, by and among the Company, as the borrower, the guarantors</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from time to time party thereto, the several lenders from time to time party thereto, and Morgan Stanley</w:t>
            </w: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Senior Funding Inc., as administrative agent and collateral agent. (incorporated by reference to Exhibit</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10.50 to the Registrant’s Quarterly Report on Form 10-Q, filed with the SEC on August 9, 2024).</w:t>
            </w:r>
          </w:p>
        </w:tc>
        <w:tc>
          <w:tcPr>
            <w:tcW w:w="0" w:type="dxa"/>
            <w:vAlign w:val="bottom"/>
          </w:tcPr>
          <w:p>
            <w:pPr>
              <w:spacing w:after="0"/>
              <w:rPr>
                <w:sz w:val="1"/>
                <w:szCs w:val="1"/>
                <w:color w:val="auto"/>
              </w:rPr>
            </w:pP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52*</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Amended and Restated First Amendment to Credit Agreement, dated as of September 30, 2024, by and</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among the Company, as the borrower, the guarantors from time to time party thereto, the several lenders</w:t>
            </w: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from time to time party thereto, and Morgan Stanley Senior Funding Inc., as administrative agent and</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collateral agent.</w:t>
            </w:r>
          </w:p>
        </w:tc>
        <w:tc>
          <w:tcPr>
            <w:tcW w:w="0" w:type="dxa"/>
            <w:vAlign w:val="bottom"/>
          </w:tcPr>
          <w:p>
            <w:pPr>
              <w:spacing w:after="0"/>
              <w:rPr>
                <w:sz w:val="1"/>
                <w:szCs w:val="1"/>
                <w:color w:val="auto"/>
              </w:rPr>
            </w:pP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53*</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to Credit Agreement, dated as of November 14, 2024, by and among the Company,</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as the borrower, the guarantors from time to time party thereto, the several lenders from time to time</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party thereto, and Morgan Stanley Senior Funding Inc., as administrative agent and collateral agent.</w:t>
            </w:r>
          </w:p>
        </w:tc>
        <w:tc>
          <w:tcPr>
            <w:tcW w:w="0" w:type="dxa"/>
            <w:vAlign w:val="bottom"/>
          </w:tcPr>
          <w:p>
            <w:pPr>
              <w:spacing w:after="0"/>
              <w:rPr>
                <w:sz w:val="1"/>
                <w:szCs w:val="1"/>
                <w:color w:val="auto"/>
              </w:rPr>
            </w:pPr>
          </w:p>
        </w:tc>
      </w:tr>
      <w:tr>
        <w:trPr>
          <w:trHeight w:val="57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54*</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Amendment to Credit Agreement, dated as of November 22, 2024, by and among the Company, as</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the borrower, the guarantors from time to time party thereto, the several lenders from time to time party</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c>
          <w:tcPr>
            <w:tcW w:w="0" w:type="dxa"/>
            <w:vAlign w:val="bottom"/>
          </w:tcPr>
          <w:p>
            <w:pPr>
              <w:spacing w:after="0"/>
              <w:rPr>
                <w:sz w:val="1"/>
                <w:szCs w:val="1"/>
                <w:color w:val="auto"/>
              </w:rPr>
            </w:pPr>
          </w:p>
        </w:tc>
      </w:tr>
      <w:tr>
        <w:trPr>
          <w:trHeight w:val="57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55*</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Series I Credit Agreement, dated as of November 22, 2024, among the Company, as the borrower, the</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the lenders from time to time party thereto and Wilmington</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Savings Fund Society, FSB, as administrative agent and collateral agent.</w:t>
            </w:r>
          </w:p>
        </w:tc>
        <w:tc>
          <w:tcPr>
            <w:tcW w:w="0" w:type="dxa"/>
            <w:vAlign w:val="bottom"/>
          </w:tcPr>
          <w:p>
            <w:pPr>
              <w:spacing w:after="0"/>
              <w:rPr>
                <w:sz w:val="1"/>
                <w:szCs w:val="1"/>
                <w:color w:val="auto"/>
              </w:rPr>
            </w:pPr>
          </w:p>
        </w:tc>
      </w:tr>
      <w:tr>
        <w:trPr>
          <w:trHeight w:val="57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56*</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Credit Agreement, dated as of November 22, 2024, among NFE Brazil Investments LLC, as the</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borrower, NFE Financing LLC, as lender, the lenders from time to time party thereto and Wilmington</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Savings Fund Society, FSB, as administrative agent and collateral agent.</w:t>
            </w:r>
          </w:p>
        </w:tc>
        <w:tc>
          <w:tcPr>
            <w:tcW w:w="0" w:type="dxa"/>
            <w:vAlign w:val="bottom"/>
          </w:tcPr>
          <w:p>
            <w:pPr>
              <w:spacing w:after="0"/>
              <w:rPr>
                <w:sz w:val="1"/>
                <w:szCs w:val="1"/>
                <w:color w:val="auto"/>
              </w:rPr>
            </w:pPr>
          </w:p>
        </w:tc>
      </w:tr>
      <w:tr>
        <w:trPr>
          <w:trHeight w:val="57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57*</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Series II Credit Agreement, dated as of December 6, 2024, among the Company, as the borrower, the</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the lenders from time to time party thereto and Wilmington</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Savings Fund Society, FSB, as administrative agent and collateral agent.</w:t>
            </w:r>
          </w:p>
        </w:tc>
        <w:tc>
          <w:tcPr>
            <w:tcW w:w="0" w:type="dxa"/>
            <w:vAlign w:val="bottom"/>
          </w:tcPr>
          <w:p>
            <w:pPr>
              <w:spacing w:after="0"/>
              <w:rPr>
                <w:sz w:val="1"/>
                <w:szCs w:val="1"/>
                <w:color w:val="auto"/>
              </w:rPr>
            </w:pPr>
          </w:p>
        </w:tc>
      </w:tr>
      <w:tr>
        <w:trPr>
          <w:trHeight w:val="57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58*</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Transaction Support Agreement, dated as of September 30, 2024, by and among the Company and parties</w:t>
            </w:r>
          </w:p>
        </w:tc>
        <w:tc>
          <w:tcPr>
            <w:tcW w:w="0" w:type="dxa"/>
            <w:vAlign w:val="bottom"/>
          </w:tcPr>
          <w:p>
            <w:pPr>
              <w:spacing w:after="0"/>
              <w:rPr>
                <w:sz w:val="1"/>
                <w:szCs w:val="1"/>
                <w:color w:val="auto"/>
              </w:rPr>
            </w:pP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thereto.</w:t>
            </w:r>
          </w:p>
        </w:tc>
        <w:tc>
          <w:tcPr>
            <w:tcW w:w="0" w:type="dxa"/>
            <w:vAlign w:val="bottom"/>
          </w:tcPr>
          <w:p>
            <w:pPr>
              <w:spacing w:after="0"/>
              <w:rPr>
                <w:sz w:val="1"/>
                <w:szCs w:val="1"/>
                <w:color w:val="auto"/>
              </w:rPr>
            </w:pP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59*</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Amendment to Transaction Support Agreement, dated as of November 4, 2024, by and among the</w:t>
            </w:r>
          </w:p>
        </w:tc>
        <w:tc>
          <w:tcPr>
            <w:tcW w:w="0" w:type="dxa"/>
            <w:vAlign w:val="bottom"/>
          </w:tcPr>
          <w:p>
            <w:pPr>
              <w:spacing w:after="0"/>
              <w:rPr>
                <w:sz w:val="1"/>
                <w:szCs w:val="1"/>
                <w:color w:val="auto"/>
              </w:rPr>
            </w:pP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Company and parties thereto.</w:t>
            </w:r>
          </w:p>
        </w:tc>
        <w:tc>
          <w:tcPr>
            <w:tcW w:w="0" w:type="dxa"/>
            <w:vAlign w:val="bottom"/>
          </w:tcPr>
          <w:p>
            <w:pPr>
              <w:spacing w:after="0"/>
              <w:rPr>
                <w:sz w:val="1"/>
                <w:szCs w:val="1"/>
                <w:color w:val="auto"/>
              </w:rPr>
            </w:pPr>
          </w:p>
        </w:tc>
      </w:tr>
      <w:tr>
        <w:trPr>
          <w:trHeight w:val="475"/>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60*</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to Transaction Support Agreement, dated as of November 21, 2024, by and among</w:t>
            </w:r>
          </w:p>
        </w:tc>
        <w:tc>
          <w:tcPr>
            <w:tcW w:w="0" w:type="dxa"/>
            <w:vAlign w:val="bottom"/>
          </w:tcPr>
          <w:p>
            <w:pPr>
              <w:spacing w:after="0"/>
              <w:rPr>
                <w:sz w:val="1"/>
                <w:szCs w:val="1"/>
                <w:color w:val="auto"/>
              </w:rPr>
            </w:pP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Company and parties thereto.</w:t>
            </w:r>
          </w:p>
        </w:tc>
        <w:tc>
          <w:tcPr>
            <w:tcW w:w="0" w:type="dxa"/>
            <w:vAlign w:val="bottom"/>
          </w:tcPr>
          <w:p>
            <w:pPr>
              <w:spacing w:after="0"/>
              <w:rPr>
                <w:sz w:val="1"/>
                <w:szCs w:val="1"/>
                <w:color w:val="auto"/>
              </w:rPr>
            </w:pPr>
          </w:p>
        </w:tc>
      </w:tr>
      <w:tr>
        <w:trPr>
          <w:trHeight w:val="475"/>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61*</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Form of Exchange and Subscription Agreement, dated November 6, 2024, by and among the Company</w:t>
            </w:r>
          </w:p>
        </w:tc>
        <w:tc>
          <w:tcPr>
            <w:tcW w:w="0" w:type="dxa"/>
            <w:vAlign w:val="bottom"/>
          </w:tcPr>
          <w:p>
            <w:pPr>
              <w:spacing w:after="0"/>
              <w:rPr>
                <w:sz w:val="1"/>
                <w:szCs w:val="1"/>
                <w:color w:val="auto"/>
              </w:rPr>
            </w:pPr>
          </w:p>
        </w:tc>
      </w:tr>
      <w:tr>
        <w:trPr>
          <w:trHeight w:val="240"/>
        </w:trPr>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62*</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and parties thereto.</w:t>
            </w:r>
          </w:p>
        </w:tc>
        <w:tc>
          <w:tcPr>
            <w:tcW w:w="0" w:type="dxa"/>
            <w:vAlign w:val="bottom"/>
          </w:tcPr>
          <w:p>
            <w:pPr>
              <w:spacing w:after="0"/>
              <w:rPr>
                <w:sz w:val="1"/>
                <w:szCs w:val="1"/>
                <w:color w:val="auto"/>
              </w:rPr>
            </w:pPr>
          </w:p>
        </w:tc>
      </w:tr>
      <w:tr>
        <w:trPr>
          <w:trHeight w:val="480"/>
        </w:trPr>
        <w:tc>
          <w:tcPr>
            <w:tcW w:w="560" w:type="dxa"/>
            <w:vAlign w:val="bottom"/>
            <w:tcBorders>
              <w:bottom w:val="single" w:sz="8" w:color="0000FF"/>
            </w:tcBorders>
            <w:gridSpan w:val="2"/>
            <w:vMerge w:val="continue"/>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Form of First Amendment to Exchange and Subscription Agreement, dated November 22, 2024, by and</w:t>
            </w:r>
          </w:p>
        </w:tc>
        <w:tc>
          <w:tcPr>
            <w:tcW w:w="0" w:type="dxa"/>
            <w:vAlign w:val="bottom"/>
          </w:tcPr>
          <w:p>
            <w:pPr>
              <w:spacing w:after="0"/>
              <w:rPr>
                <w:sz w:val="1"/>
                <w:szCs w:val="1"/>
                <w:color w:val="auto"/>
              </w:rPr>
            </w:pP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among the Company and parties thereto.</w:t>
            </w:r>
          </w:p>
        </w:tc>
        <w:tc>
          <w:tcPr>
            <w:tcW w:w="0" w:type="dxa"/>
            <w:vAlign w:val="bottom"/>
          </w:tcPr>
          <w:p>
            <w:pPr>
              <w:spacing w:after="0"/>
              <w:rPr>
                <w:sz w:val="1"/>
                <w:szCs w:val="1"/>
                <w:color w:val="auto"/>
              </w:rPr>
            </w:pP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63</w:t>
            </w:r>
            <w:r>
              <w:rPr>
                <w:rFonts w:ascii="Times New Roman" w:cs="Times New Roman" w:eastAsia="Times New Roman" w:hAnsi="Times New Roman"/>
                <w:sz w:val="20"/>
                <w:szCs w:val="20"/>
                <w:color w:val="000000"/>
                <w:w w:val="98"/>
              </w:rPr>
              <w:t>*</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November 22, 2024, by and among NFE Financing LLC, as issuer, the guarantors from</w:t>
            </w:r>
          </w:p>
        </w:tc>
        <w:tc>
          <w:tcPr>
            <w:tcW w:w="0" w:type="dxa"/>
            <w:vAlign w:val="bottom"/>
          </w:tcPr>
          <w:p>
            <w:pPr>
              <w:spacing w:after="0"/>
              <w:rPr>
                <w:sz w:val="1"/>
                <w:szCs w:val="1"/>
                <w:color w:val="auto"/>
              </w:rPr>
            </w:pP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time to time party thereto, and Wilmington Savings Fund Society, FSB, as trustee.</w:t>
            </w:r>
          </w:p>
        </w:tc>
        <w:tc>
          <w:tcPr>
            <w:tcW w:w="0" w:type="dxa"/>
            <w:vAlign w:val="bottom"/>
          </w:tcPr>
          <w:p>
            <w:pPr>
              <w:spacing w:after="0"/>
              <w:rPr>
                <w:sz w:val="1"/>
                <w:szCs w:val="1"/>
                <w:color w:val="auto"/>
              </w:rPr>
            </w:pP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64*</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Registration Rights and Lock-up Agreement, dated as of December 6, 2024 by and among the Company</w:t>
            </w:r>
          </w:p>
        </w:tc>
        <w:tc>
          <w:tcPr>
            <w:tcW w:w="0" w:type="dxa"/>
            <w:vAlign w:val="bottom"/>
          </w:tcPr>
          <w:p>
            <w:pPr>
              <w:spacing w:after="0"/>
              <w:rPr>
                <w:sz w:val="1"/>
                <w:szCs w:val="1"/>
                <w:color w:val="auto"/>
              </w:rPr>
            </w:pP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and the undersigned investors.</w:t>
            </w:r>
          </w:p>
        </w:tc>
        <w:tc>
          <w:tcPr>
            <w:tcW w:w="0" w:type="dxa"/>
            <w:vAlign w:val="bottom"/>
          </w:tcPr>
          <w:p>
            <w:pPr>
              <w:spacing w:after="0"/>
              <w:rPr>
                <w:sz w:val="1"/>
                <w:szCs w:val="1"/>
                <w:color w:val="auto"/>
              </w:rPr>
            </w:pP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65*</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Amendment to Registration Rights and Lock-up Agreement, dated as of January 8, 2025, by and</w:t>
            </w:r>
          </w:p>
        </w:tc>
        <w:tc>
          <w:tcPr>
            <w:tcW w:w="0" w:type="dxa"/>
            <w:vAlign w:val="bottom"/>
          </w:tcPr>
          <w:p>
            <w:pPr>
              <w:spacing w:after="0"/>
              <w:rPr>
                <w:sz w:val="1"/>
                <w:szCs w:val="1"/>
                <w:color w:val="auto"/>
              </w:rPr>
            </w:pP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among the Company and the undersigned investors.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-7990840</wp:posOffset>
            </wp:positionV>
            <wp:extent cx="6311900" cy="8207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5">
                      <a:extLst>
                        <a:ext uri="{28A0092B-C50C-407E-A947-70E740481C1C}"/>
                      </a:extLst>
                    </a:blip>
                    <a:srcRect/>
                    <a:stretch>
                      <a:fillRect/>
                    </a:stretch>
                  </pic:blipFill>
                  <pic:spPr bwMode="auto">
                    <a:xfrm>
                      <a:off x="0" y="0"/>
                      <a:ext cx="6311900" cy="8207375"/>
                    </a:xfrm>
                    <a:prstGeom prst="rect">
                      <a:avLst/>
                    </a:prstGeom>
                    <a:noFill/>
                  </pic:spPr>
                </pic:pic>
              </a:graphicData>
            </a:graphic>
          </wp:anchor>
        </w:drawing>
      </w: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96</w:t>
      </w:r>
    </w:p>
    <w:p>
      <w:pPr>
        <w:sectPr>
          <w:pgSz w:w="12240" w:h="15840" w:orient="portrait"/>
          <w:cols w:equalWidth="0" w:num="1">
            <w:col w:w="9820"/>
          </w:cols>
          <w:pgMar w:left="1180" w:top="218" w:right="1240" w:bottom="0" w:gutter="0" w:footer="0" w:header="0"/>
          <w:type w:val="continuous"/>
        </w:sectPr>
      </w:pPr>
    </w:p>
    <w:bookmarkStart w:id="99" w:name="page100"/>
    <w:bookmarkEnd w:id="9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66*</w:t>
            </w:r>
          </w:p>
        </w:tc>
        <w:tc>
          <w:tcPr>
            <w:tcW w:w="5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Second Amendment to Registration Rights and Lock-up Agreement, dated as of February 4, 2025, by and</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among the Company and the undersigned investors.</w:t>
            </w:r>
          </w:p>
        </w:tc>
      </w:tr>
      <w:tr>
        <w:trPr>
          <w:trHeight w:val="55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19.</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New Fortress Energy Inc. Firmwide Insider Trading Policy</w:t>
            </w:r>
          </w:p>
        </w:tc>
      </w:tr>
      <w:tr>
        <w:trPr>
          <w:trHeight w:val="595"/>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21.</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List of Subsidiaries of New Fortress Energy Inc.</w:t>
            </w:r>
          </w:p>
        </w:tc>
      </w:tr>
      <w:tr>
        <w:trPr>
          <w:trHeight w:val="595"/>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23.</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Consent of Ernst &amp; Young LLP, independent registered public accounting firm.</w:t>
            </w:r>
          </w:p>
        </w:tc>
      </w:tr>
      <w:tr>
        <w:trPr>
          <w:trHeight w:val="595"/>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31.</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by Chief Executive Officer pursuant to Rules 13a-14(a) and 15d-14(a) of the Exchange Act,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535"/>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31.</w:t>
            </w:r>
            <w:r>
              <w:rPr>
                <w:rFonts w:ascii="Times New Roman" w:cs="Times New Roman" w:eastAsia="Times New Roman" w:hAnsi="Times New Roman"/>
                <w:sz w:val="20"/>
                <w:szCs w:val="20"/>
                <w:u w:val="single" w:color="auto"/>
                <w:color w:val="0000FF"/>
                <w:w w:val="97"/>
              </w:rPr>
              <w:t>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by Chief Financial Officer pursuant to Rules 13a-14(a) and 15d-14(a) of the Exchange Act,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550"/>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32.</w:t>
            </w:r>
            <w:r>
              <w:rPr>
                <w:rFonts w:ascii="Times New Roman" w:cs="Times New Roman" w:eastAsia="Times New Roman" w:hAnsi="Times New Roman"/>
                <w:sz w:val="20"/>
                <w:szCs w:val="20"/>
                <w:u w:val="single" w:color="auto"/>
                <w:color w:val="0000FF"/>
                <w:w w:val="98"/>
              </w:rPr>
              <w:t>1**</w:t>
            </w: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Certifications by Chief Executive Officer pursuant to Title 18 U.S.C. Section 1350, as adopted pursuant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550"/>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32.</w:t>
            </w:r>
            <w:r>
              <w:rPr>
                <w:rFonts w:ascii="Times New Roman" w:cs="Times New Roman" w:eastAsia="Times New Roman" w:hAnsi="Times New Roman"/>
                <w:sz w:val="20"/>
                <w:szCs w:val="20"/>
                <w:u w:val="single" w:color="auto"/>
                <w:color w:val="0000FF"/>
                <w:w w:val="98"/>
              </w:rPr>
              <w:t>2**</w:t>
            </w: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Certifications by Chief Financial Officer pursuant to Title 18 U.S.C. Section 1350, as adopted pursuant to</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5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97.</w:t>
            </w:r>
            <w:r>
              <w:rPr>
                <w:rFonts w:ascii="Times New Roman" w:cs="Times New Roman" w:eastAsia="Times New Roman" w:hAnsi="Times New Roman"/>
                <w:sz w:val="20"/>
                <w:szCs w:val="20"/>
                <w:u w:val="single" w:color="auto"/>
                <w:color w:val="0000FF"/>
                <w:w w:val="96"/>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Clawback Policy of the Company, effective as of December 1, 2023 (incorporated by reference from</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97.1 to the Form 10-K dated February 29, 2024)</w:t>
            </w:r>
          </w:p>
        </w:tc>
      </w:tr>
      <w:tr>
        <w:trPr>
          <w:trHeight w:val="593"/>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101.INS*</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101.SCH*</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Schema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101.CAL*</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Calculation Linkbase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101.LAB*</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Label Linkbase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101.PRE*</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Presentation Linkbase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101.DEF*</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615"/>
        </w:trPr>
        <w:tc>
          <w:tcPr>
            <w:tcW w:w="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-6463030</wp:posOffset>
            </wp:positionV>
            <wp:extent cx="6311900" cy="4149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extLst>
                    </a:blip>
                    <a:srcRect/>
                    <a:stretch>
                      <a:fillRect/>
                    </a:stretch>
                  </pic:blipFill>
                  <pic:spPr bwMode="auto">
                    <a:xfrm>
                      <a:off x="0" y="0"/>
                      <a:ext cx="6311900" cy="414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Filed as an exhibit to this Annual Report</w:t>
      </w:r>
    </w:p>
    <w:p>
      <w:pPr>
        <w:spacing w:after="0" w:line="30" w:lineRule="exact"/>
        <w:rPr>
          <w:sz w:val="20"/>
          <w:szCs w:val="20"/>
          <w:color w:val="auto"/>
        </w:rPr>
      </w:pPr>
    </w:p>
    <w:p>
      <w:pPr>
        <w:ind w:left="270" w:hanging="270"/>
        <w:spacing w:after="0"/>
        <w:tabs>
          <w:tab w:leader="none" w:pos="27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as an exhibit to this Annual Report</w:t>
      </w:r>
    </w:p>
    <w:p>
      <w:pPr>
        <w:spacing w:after="0" w:line="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Compensatory plan or arrangement</w:t>
      </w:r>
    </w:p>
    <w:p>
      <w:pPr>
        <w:spacing w:after="0" w:line="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Portions of the exhibit (indicated by asterisks) have been omitted in pursuant to Item 601 (b)(10)(iv) of Regulation S-K.</w:t>
      </w:r>
    </w:p>
    <w:p>
      <w:pPr>
        <w:sectPr>
          <w:pgSz w:w="12240" w:h="15840" w:orient="portrait"/>
          <w:cols w:equalWidth="0" w:num="1">
            <w:col w:w="9810"/>
          </w:cols>
          <w:pgMar w:left="117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97</w:t>
      </w:r>
    </w:p>
    <w:p>
      <w:pPr>
        <w:sectPr>
          <w:pgSz w:w="12240" w:h="15840" w:orient="portrait"/>
          <w:cols w:equalWidth="0" w:num="1">
            <w:col w:w="9810"/>
          </w:cols>
          <w:pgMar w:left="1170" w:top="218" w:right="126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620"/>
          </w:cols>
          <w:pgMar w:left="1180" w:top="2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98</w:t>
      </w:r>
    </w:p>
    <w:p>
      <w:pPr>
        <w:sectPr>
          <w:pgSz w:w="12240" w:h="15840" w:orient="portrait"/>
          <w:cols w:equalWidth="0" w:num="1">
            <w:col w:w="9620"/>
          </w:cols>
          <w:pgMar w:left="1180" w:top="218" w:right="144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March 10, 2025</w:t>
      </w:r>
    </w:p>
    <w:p>
      <w:pPr>
        <w:spacing w:after="0" w:line="83" w:lineRule="exact"/>
        <w:rPr>
          <w:sz w:val="20"/>
          <w:szCs w:val="20"/>
          <w:color w:val="auto"/>
        </w:rPr>
      </w:pPr>
    </w:p>
    <w:tbl>
      <w:tblPr>
        <w:tblLayout w:type="fixed"/>
        <w:tblInd w:w="4660" w:type="dxa"/>
        <w:tblCellMar>
          <w:top w:w="0" w:type="dxa"/>
          <w:left w:w="0" w:type="dxa"/>
          <w:bottom w:w="0" w:type="dxa"/>
          <w:right w:w="0" w:type="dxa"/>
        </w:tblCellMar>
      </w:tblPr>
      <w:tr>
        <w:trPr>
          <w:trHeight w:val="26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Christopher Guinta</w:t>
            </w:r>
          </w:p>
        </w:tc>
      </w:tr>
      <w:tr>
        <w:trPr>
          <w:trHeight w:val="272"/>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Christopher S. Guinta</w:t>
            </w:r>
          </w:p>
        </w:tc>
      </w:tr>
      <w:tr>
        <w:trPr>
          <w:trHeight w:val="30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91" w:lineRule="exact"/>
        <w:rPr>
          <w:sz w:val="20"/>
          <w:szCs w:val="20"/>
          <w:color w:val="auto"/>
        </w:rPr>
      </w:pPr>
    </w:p>
    <w:p>
      <w:pPr>
        <w:ind w:right="76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60" w:type="dxa"/>
            <w:vAlign w:val="bottom"/>
          </w:tcPr>
          <w:p>
            <w:pPr>
              <w:spacing w:after="0"/>
              <w:rPr>
                <w:sz w:val="23"/>
                <w:szCs w:val="23"/>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60" w:type="dxa"/>
            <w:vAlign w:val="bottom"/>
          </w:tcPr>
          <w:p>
            <w:pPr>
              <w:spacing w:after="0"/>
              <w:rPr>
                <w:sz w:val="23"/>
                <w:szCs w:val="23"/>
                <w:color w:val="auto"/>
              </w:rPr>
            </w:pPr>
          </w:p>
        </w:tc>
        <w:tc>
          <w:tcPr>
            <w:tcW w:w="1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54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 Wesley R. Edens</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Chairman</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Executive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Wesley R. Edens</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Christopher S. Guinta</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Financial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Christopher S. Guinta</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Yunyoung Shin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Accounting Officer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Accounting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Yunyoung Shin</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Randal A. Nardone</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Randal A. Nardone</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 William Griffin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 William Griffin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8"/>
        </w:trPr>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36"/>
        </w:trPr>
        <w:tc>
          <w:tcPr>
            <w:tcW w:w="4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John J. Mack</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Timothy W. Jay</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Timothy W. Jay</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J. Grain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David J. Grain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Desmond Iain Catterall</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Desmond Iain Catterall</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Katherine E. Wanner</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10, 2025</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Katherine E. Wanner</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99</w:t>
      </w:r>
    </w:p>
    <w:p>
      <w:pPr>
        <w:sectPr>
          <w:pgSz w:w="12240" w:h="15840" w:orient="portrait"/>
          <w:cols w:equalWidth="0" w:num="1">
            <w:col w:w="9900"/>
          </w:cols>
          <w:pgMar w:left="1180" w:top="218" w:right="1160"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85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1320" w:type="dxa"/>
            <w:vAlign w:val="bottom"/>
          </w:tcPr>
          <w:p>
            <w:pPr>
              <w:spacing w:after="0"/>
              <w:rPr>
                <w:sz w:val="16"/>
                <w:szCs w:val="16"/>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81"/>
        </w:trPr>
        <w:tc>
          <w:tcPr>
            <w:tcW w:w="85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320" w:type="dxa"/>
            <w:vAlign w:val="bottom"/>
          </w:tcPr>
          <w:p>
            <w:pPr>
              <w:spacing w:after="0"/>
              <w:rPr>
                <w:sz w:val="24"/>
                <w:szCs w:val="24"/>
                <w:color w:val="auto"/>
              </w:rPr>
            </w:pPr>
          </w:p>
        </w:tc>
      </w:tr>
      <w:tr>
        <w:trPr>
          <w:trHeight w:val="575"/>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70"/>
        </w:trPr>
        <w:tc>
          <w:tcPr>
            <w:tcW w:w="40" w:type="dxa"/>
            <w:vAlign w:val="bottom"/>
          </w:tcPr>
          <w:p>
            <w:pPr>
              <w:spacing w:after="0"/>
              <w:rPr>
                <w:sz w:val="23"/>
                <w:szCs w:val="23"/>
                <w:color w:val="auto"/>
              </w:rPr>
            </w:pPr>
          </w:p>
        </w:tc>
        <w:tc>
          <w:tcPr>
            <w:tcW w:w="85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F-2</w:t>
            </w:r>
          </w:p>
        </w:tc>
      </w:tr>
      <w:tr>
        <w:trPr>
          <w:trHeight w:val="244"/>
        </w:trPr>
        <w:tc>
          <w:tcPr>
            <w:tcW w:w="40" w:type="dxa"/>
            <w:vAlign w:val="bottom"/>
          </w:tcPr>
          <w:p>
            <w:pPr>
              <w:spacing w:after="0"/>
              <w:rPr>
                <w:sz w:val="21"/>
                <w:szCs w:val="21"/>
                <w:color w:val="auto"/>
              </w:rPr>
            </w:pPr>
          </w:p>
        </w:tc>
        <w:tc>
          <w:tcPr>
            <w:tcW w:w="4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3860" w:type="dxa"/>
            <w:vAlign w:val="bottom"/>
            <w:gridSpan w:val="3"/>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F-6</w:t>
            </w:r>
          </w:p>
        </w:tc>
      </w:tr>
      <w:tr>
        <w:trPr>
          <w:trHeight w:val="36"/>
        </w:trPr>
        <w:tc>
          <w:tcPr>
            <w:tcW w:w="40" w:type="dxa"/>
            <w:vAlign w:val="bottom"/>
          </w:tcPr>
          <w:p>
            <w:pPr>
              <w:spacing w:after="0"/>
              <w:rPr>
                <w:sz w:val="3"/>
                <w:szCs w:val="3"/>
                <w:color w:val="auto"/>
              </w:rPr>
            </w:pPr>
          </w:p>
        </w:tc>
        <w:tc>
          <w:tcPr>
            <w:tcW w:w="2320" w:type="dxa"/>
            <w:vAlign w:val="bottom"/>
            <w:tcBorders>
              <w:top w:val="single" w:sz="8" w:color="0000FF"/>
            </w:tcBorders>
            <w:gridSpan w:val="2"/>
          </w:tcPr>
          <w:p>
            <w:pPr>
              <w:spacing w:after="0"/>
              <w:rPr>
                <w:sz w:val="3"/>
                <w:szCs w:val="3"/>
                <w:color w:val="auto"/>
              </w:rPr>
            </w:pPr>
          </w:p>
        </w:tc>
        <w:tc>
          <w:tcPr>
            <w:tcW w:w="6220" w:type="dxa"/>
            <w:vAlign w:val="bottom"/>
            <w:gridSpan w:val="6"/>
          </w:tcPr>
          <w:p>
            <w:pPr>
              <w:spacing w:after="0"/>
              <w:rPr>
                <w:sz w:val="3"/>
                <w:szCs w:val="3"/>
                <w:color w:val="auto"/>
              </w:rPr>
            </w:pPr>
          </w:p>
        </w:tc>
        <w:tc>
          <w:tcPr>
            <w:tcW w:w="1320" w:type="dxa"/>
            <w:vAlign w:val="bottom"/>
          </w:tcPr>
          <w:p>
            <w:pPr>
              <w:spacing w:after="0"/>
              <w:rPr>
                <w:sz w:val="3"/>
                <w:szCs w:val="3"/>
                <w:color w:val="auto"/>
              </w:rPr>
            </w:pPr>
          </w:p>
        </w:tc>
      </w:tr>
      <w:tr>
        <w:trPr>
          <w:trHeight w:val="280"/>
        </w:trPr>
        <w:tc>
          <w:tcPr>
            <w:tcW w:w="40" w:type="dxa"/>
            <w:vAlign w:val="bottom"/>
          </w:tcPr>
          <w:p>
            <w:pPr>
              <w:spacing w:after="0"/>
              <w:rPr>
                <w:sz w:val="24"/>
                <w:szCs w:val="24"/>
                <w:color w:val="auto"/>
              </w:rPr>
            </w:pPr>
          </w:p>
        </w:tc>
        <w:tc>
          <w:tcPr>
            <w:tcW w:w="5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 Income</w:t>
            </w:r>
          </w:p>
        </w:tc>
        <w:tc>
          <w:tcPr>
            <w:tcW w:w="2560" w:type="dxa"/>
            <w:vAlign w:val="bottom"/>
          </w:tcPr>
          <w:p>
            <w:pPr>
              <w:spacing w:after="0"/>
              <w:rPr>
                <w:sz w:val="24"/>
                <w:szCs w:val="24"/>
                <w:color w:val="auto"/>
              </w:rPr>
            </w:pP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F-7</w:t>
            </w:r>
          </w:p>
        </w:tc>
      </w:tr>
      <w:tr>
        <w:trPr>
          <w:trHeight w:val="244"/>
        </w:trPr>
        <w:tc>
          <w:tcPr>
            <w:tcW w:w="40" w:type="dxa"/>
            <w:vAlign w:val="bottom"/>
          </w:tcPr>
          <w:p>
            <w:pPr>
              <w:spacing w:after="0"/>
              <w:rPr>
                <w:sz w:val="21"/>
                <w:szCs w:val="21"/>
                <w:color w:val="auto"/>
              </w:rPr>
            </w:pPr>
          </w:p>
        </w:tc>
        <w:tc>
          <w:tcPr>
            <w:tcW w:w="85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F-8</w:t>
            </w:r>
          </w:p>
        </w:tc>
      </w:tr>
      <w:tr>
        <w:trPr>
          <w:trHeight w:val="36"/>
        </w:trPr>
        <w:tc>
          <w:tcPr>
            <w:tcW w:w="40" w:type="dxa"/>
            <w:vAlign w:val="bottom"/>
          </w:tcPr>
          <w:p>
            <w:pPr>
              <w:spacing w:after="0"/>
              <w:rPr>
                <w:sz w:val="3"/>
                <w:szCs w:val="3"/>
                <w:color w:val="auto"/>
              </w:rPr>
            </w:pPr>
          </w:p>
        </w:tc>
        <w:tc>
          <w:tcPr>
            <w:tcW w:w="4880" w:type="dxa"/>
            <w:vAlign w:val="bottom"/>
            <w:tcBorders>
              <w:top w:val="single" w:sz="8" w:color="0000FF"/>
            </w:tcBorders>
            <w:gridSpan w:val="6"/>
          </w:tcPr>
          <w:p>
            <w:pPr>
              <w:spacing w:after="0"/>
              <w:rPr>
                <w:sz w:val="3"/>
                <w:szCs w:val="3"/>
                <w:color w:val="auto"/>
              </w:rPr>
            </w:pPr>
          </w:p>
        </w:tc>
        <w:tc>
          <w:tcPr>
            <w:tcW w:w="366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r>
      <w:tr>
        <w:trPr>
          <w:trHeight w:val="244"/>
        </w:trPr>
        <w:tc>
          <w:tcPr>
            <w:tcW w:w="40" w:type="dxa"/>
            <w:vAlign w:val="bottom"/>
          </w:tcPr>
          <w:p>
            <w:pPr>
              <w:spacing w:after="0"/>
              <w:rPr>
                <w:sz w:val="21"/>
                <w:szCs w:val="21"/>
                <w:color w:val="auto"/>
              </w:rPr>
            </w:pPr>
          </w:p>
        </w:tc>
        <w:tc>
          <w:tcPr>
            <w:tcW w:w="85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F-9</w:t>
            </w:r>
          </w:p>
        </w:tc>
      </w:tr>
      <w:tr>
        <w:trPr>
          <w:trHeight w:val="36"/>
        </w:trPr>
        <w:tc>
          <w:tcPr>
            <w:tcW w:w="40" w:type="dxa"/>
            <w:vAlign w:val="bottom"/>
          </w:tcPr>
          <w:p>
            <w:pPr>
              <w:spacing w:after="0"/>
              <w:rPr>
                <w:sz w:val="3"/>
                <w:szCs w:val="3"/>
                <w:color w:val="auto"/>
              </w:rPr>
            </w:pPr>
          </w:p>
        </w:tc>
        <w:tc>
          <w:tcPr>
            <w:tcW w:w="3180" w:type="dxa"/>
            <w:vAlign w:val="bottom"/>
            <w:tcBorders>
              <w:top w:val="single" w:sz="8" w:color="0000FF"/>
            </w:tcBorders>
            <w:gridSpan w:val="3"/>
          </w:tcPr>
          <w:p>
            <w:pPr>
              <w:spacing w:after="0"/>
              <w:rPr>
                <w:sz w:val="3"/>
                <w:szCs w:val="3"/>
                <w:color w:val="auto"/>
              </w:rPr>
            </w:pPr>
          </w:p>
        </w:tc>
        <w:tc>
          <w:tcPr>
            <w:tcW w:w="5360" w:type="dxa"/>
            <w:vAlign w:val="bottom"/>
            <w:gridSpan w:val="5"/>
          </w:tcPr>
          <w:p>
            <w:pPr>
              <w:spacing w:after="0"/>
              <w:rPr>
                <w:sz w:val="3"/>
                <w:szCs w:val="3"/>
                <w:color w:val="auto"/>
              </w:rPr>
            </w:pPr>
          </w:p>
        </w:tc>
        <w:tc>
          <w:tcPr>
            <w:tcW w:w="1320" w:type="dxa"/>
            <w:vAlign w:val="bottom"/>
            <w:tcBorders>
              <w:right w:val="single" w:sz="8" w:color="CCEEFF"/>
            </w:tcBorders>
          </w:tcPr>
          <w:p>
            <w:pPr>
              <w:spacing w:after="0"/>
              <w:rPr>
                <w:sz w:val="3"/>
                <w:szCs w:val="3"/>
                <w:color w:val="auto"/>
              </w:rPr>
            </w:pPr>
          </w:p>
        </w:tc>
      </w:tr>
      <w:tr>
        <w:trPr>
          <w:trHeight w:val="244"/>
        </w:trPr>
        <w:tc>
          <w:tcPr>
            <w:tcW w:w="40" w:type="dxa"/>
            <w:vAlign w:val="bottom"/>
          </w:tcPr>
          <w:p>
            <w:pPr>
              <w:spacing w:after="0"/>
              <w:rPr>
                <w:sz w:val="21"/>
                <w:szCs w:val="21"/>
                <w:color w:val="auto"/>
              </w:rPr>
            </w:pPr>
          </w:p>
        </w:tc>
        <w:tc>
          <w:tcPr>
            <w:tcW w:w="3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5040" w:type="dxa"/>
            <w:vAlign w:val="bottom"/>
            <w:gridSpan w:val="4"/>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-1125855</wp:posOffset>
            </wp:positionV>
            <wp:extent cx="6311900" cy="1168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7">
                      <a:extLst>
                        <a:ext uri="{28A0092B-C50C-407E-A947-70E740481C1C}"/>
                      </a:extLst>
                    </a:blip>
                    <a:srcRect/>
                    <a:stretch>
                      <a:fillRect/>
                    </a:stretch>
                  </pic:blipFill>
                  <pic:spPr bwMode="auto">
                    <a:xfrm>
                      <a:off x="0" y="0"/>
                      <a:ext cx="6311900" cy="1168400"/>
                    </a:xfrm>
                    <a:prstGeom prst="rect">
                      <a:avLst/>
                    </a:prstGeom>
                    <a:noFill/>
                  </pic:spPr>
                </pic:pic>
              </a:graphicData>
            </a:graphic>
          </wp:anchor>
        </w:drawing>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ectPr>
          <w:pgSz w:w="12240" w:h="15840" w:orient="portrait"/>
          <w:cols w:equalWidth="0" w:num="1">
            <w:col w:w="9900"/>
          </w:cols>
          <w:pgMar w:left="1180" w:top="210" w:right="11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New Fortress Energy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New Fortress Energy Inc. (the Company) as of December 31, 2024 and 2023, the related consolidated statements of operations and comprehensive (loss) income, changes in stockholders’ equity and cash flows for each of the three years in the period ended December 31, 2024,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10, 2025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ectPr>
          <w:pgSz w:w="12240" w:h="15840" w:orient="portrait"/>
          <w:cols w:equalWidth="0" w:num="1">
            <w:col w:w="9860"/>
          </w:cols>
          <w:pgMar w:left="1180" w:top="218" w:right="120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i w:val="1"/>
          <w:iCs w:val="1"/>
          <w:color w:val="auto"/>
        </w:rPr>
        <w:t>Impairment Assessment of Construction in Progress</w:t>
      </w:r>
    </w:p>
    <w:p>
      <w:pPr>
        <w:spacing w:after="0" w:line="359"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As of December 31, 2024, the balance of construction in progress totaled $3,574 million. As</w:t>
      </w:r>
    </w:p>
    <w:p>
      <w:pPr>
        <w:spacing w:after="0" w:line="34" w:lineRule="exact"/>
        <w:rPr>
          <w:sz w:val="20"/>
          <w:szCs w:val="20"/>
          <w:color w:val="auto"/>
        </w:rPr>
      </w:pPr>
    </w:p>
    <w:p>
      <w:pPr>
        <w:ind w:left="1900" w:hanging="1859"/>
        <w:spacing w:after="0" w:line="251" w:lineRule="auto"/>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Matter</w:t>
      </w:r>
      <w:r>
        <w:rPr>
          <w:sz w:val="20"/>
          <w:szCs w:val="20"/>
          <w:color w:val="auto"/>
        </w:rPr>
        <w:tab/>
      </w:r>
      <w:r>
        <w:rPr>
          <w:rFonts w:ascii="Times New Roman" w:cs="Times New Roman" w:eastAsia="Times New Roman" w:hAnsi="Times New Roman"/>
          <w:sz w:val="20"/>
          <w:szCs w:val="20"/>
          <w:color w:val="auto"/>
        </w:rPr>
        <w:t>described in Note 2(j) to the consolidated financial statements, the Company performs a recoverability assessment of all long-lived assets, including construction in progress, whenever events or changes in circumstances indicate that the carrying value of those assets may not be recoverable. Impairment indicators affecting construction in progress asset groups may include, but are not limited to, factors such as adverse changes in the regulatory environment in a jurisdiction where the Company operates or has development activities, early termination of a significant customer contract, the introduction of newer technology, or a decision to discontinue an in-process development project. When such indicators are identified, management determines if asset groups are impaired by comparing the related undiscounted expected future cash flows to its carrying value. When the undiscounted cash flow analysis indicates an asset group is not recoverable, the amount of the impairment loss is determined by measuring the excess of the carrying amount of the asset group over its fair value.</w:t>
      </w:r>
    </w:p>
    <w:p>
      <w:pPr>
        <w:spacing w:after="0" w:line="213" w:lineRule="exact"/>
        <w:rPr>
          <w:sz w:val="20"/>
          <w:szCs w:val="20"/>
          <w:color w:val="auto"/>
        </w:rPr>
      </w:pPr>
    </w:p>
    <w:p>
      <w:pPr>
        <w:ind w:left="1900" w:right="60"/>
        <w:spacing w:after="0" w:line="255" w:lineRule="auto"/>
        <w:rPr>
          <w:sz w:val="20"/>
          <w:szCs w:val="20"/>
          <w:color w:val="auto"/>
        </w:rPr>
      </w:pPr>
      <w:r>
        <w:rPr>
          <w:rFonts w:ascii="Times New Roman" w:cs="Times New Roman" w:eastAsia="Times New Roman" w:hAnsi="Times New Roman"/>
          <w:sz w:val="20"/>
          <w:szCs w:val="20"/>
          <w:color w:val="auto"/>
        </w:rPr>
        <w:t>Auditing management’s determination of whether impairment indicators exist such that a recoverability test for a construction in progress asset group is required, was highly subjective and involved significant judgment. For instance, auditing management’s assessment of events or changes in circumstances that may be an indicator that an asset group is not recoverable was challenging due to the judgment applied in both the identification of such factors, and the evaluation of whether the factors have an impact on the recovery of the carrying value of the asset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How We Addressed</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 effectiveness of</w:t>
      </w:r>
    </w:p>
    <w:p>
      <w:pPr>
        <w:spacing w:after="0" w:line="34"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the Matter in Our</w:t>
      </w:r>
      <w:r>
        <w:rPr>
          <w:sz w:val="20"/>
          <w:szCs w:val="20"/>
          <w:color w:val="auto"/>
        </w:rPr>
        <w:tab/>
      </w:r>
      <w:r>
        <w:rPr>
          <w:rFonts w:ascii="Times New Roman" w:cs="Times New Roman" w:eastAsia="Times New Roman" w:hAnsi="Times New Roman"/>
          <w:sz w:val="19"/>
          <w:szCs w:val="19"/>
          <w:color w:val="auto"/>
        </w:rPr>
        <w:t>controls over the Company’s impairment assessment process. This included management’s</w:t>
      </w:r>
    </w:p>
    <w:p>
      <w:pPr>
        <w:spacing w:after="0" w:line="10" w:lineRule="exact"/>
        <w:rPr>
          <w:sz w:val="20"/>
          <w:szCs w:val="20"/>
          <w:color w:val="auto"/>
        </w:rPr>
      </w:pPr>
    </w:p>
    <w:p>
      <w:pPr>
        <w:ind w:left="1900" w:right="680" w:hanging="1859"/>
        <w:spacing w:after="0" w:line="260" w:lineRule="auto"/>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Audit</w:t>
      </w:r>
      <w:r>
        <w:rPr>
          <w:sz w:val="20"/>
          <w:szCs w:val="20"/>
          <w:color w:val="auto"/>
        </w:rPr>
        <w:tab/>
      </w:r>
      <w:r>
        <w:rPr>
          <w:rFonts w:ascii="Times New Roman" w:cs="Times New Roman" w:eastAsia="Times New Roman" w:hAnsi="Times New Roman"/>
          <w:sz w:val="20"/>
          <w:szCs w:val="20"/>
          <w:color w:val="auto"/>
        </w:rPr>
        <w:t>controls to review for asset groups, including construction in progress, that may have been impacted by the impairment indicators described above.</w:t>
      </w:r>
    </w:p>
    <w:p>
      <w:pPr>
        <w:spacing w:after="0" w:line="201" w:lineRule="exact"/>
        <w:rPr>
          <w:sz w:val="20"/>
          <w:szCs w:val="20"/>
          <w:color w:val="auto"/>
        </w:rPr>
      </w:pPr>
    </w:p>
    <w:p>
      <w:pPr>
        <w:ind w:left="1900"/>
        <w:spacing w:after="0" w:line="253" w:lineRule="auto"/>
        <w:rPr>
          <w:sz w:val="20"/>
          <w:szCs w:val="20"/>
          <w:color w:val="auto"/>
        </w:rPr>
      </w:pPr>
      <w:r>
        <w:rPr>
          <w:rFonts w:ascii="Times New Roman" w:cs="Times New Roman" w:eastAsia="Times New Roman" w:hAnsi="Times New Roman"/>
          <w:sz w:val="20"/>
          <w:szCs w:val="20"/>
          <w:color w:val="auto"/>
        </w:rPr>
        <w:t>To test the Company’s evaluation of potential indicators of impairment of its construction in progress, our audit procedures included, among others, assessing the methodologies and testing the completeness and accuracy of the Company’s analysis of events or changes in circumstances. For example, we inquired of management (including project development personnel) to understand their evaluation of changes in the regulatory environments of the jurisdictions in which the Company has development projects and their impact on the completion of the construction in progress and recoverability of the related asset groups. We also obtained permits, contracts and project status reports, among other evidence, to understand management’s plans with respect to development activities. We considered information about the Company’s development projects from external sources that support or provide contrary evidence to management’s evaluation of potential impairment indicators.</w:t>
      </w: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F-3</w:t>
      </w:r>
    </w:p>
    <w:p>
      <w:pPr>
        <w:sectPr>
          <w:pgSz w:w="12240" w:h="15840" w:orient="portrait"/>
          <w:cols w:equalWidth="0" w:num="1">
            <w:col w:w="9820"/>
          </w:cols>
          <w:pgMar w:left="1180" w:top="218" w:right="124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0000FF"/>
        </w:rPr>
        <w:t>Table of Contents</w:t>
      </w: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right="1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34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As discussed in Note 2(a) to the consolidated financial statements, management has concluded that the Company’s current liquidity and forecasted cash flows from operations are not sufficient to support, in full, its obligations as they become due. In response, management has developed a plan that it believes is probable of being implemented to enable the Company to meet its obligations as they become due during the period one year from the date the financial statements were issued.</w:t>
      </w:r>
    </w:p>
    <w:p>
      <w:pPr>
        <w:spacing w:after="0" w:line="144"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Auditing the Company’s assessment of its ability to continue as a going concern was especially challenging due to the significant judgment used by management in the development of the prospective financial information underlying its liquidity analysis including the estimation of forecasted cash flow that is not derived under long-term contractual arrangements, as well as in the assessment of whether management’s plans are probable of alleviating the Company’s liquidity risks.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controls over the Company's going concern assessment process. For example, we tested controls over management's review of prospective financial information used in the liquidity analysis as well as its assessment of the likelihood of the timely implementation of its plans to support the Company’s liquidity position.</w:t>
      </w:r>
    </w:p>
    <w:p>
      <w:pPr>
        <w:spacing w:after="0" w:line="14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0"/>
          <w:szCs w:val="20"/>
          <w:color w:val="auto"/>
        </w:rPr>
        <w:t>To test the Company's assessment of its ability to continue as a going concern for the period of one year from the date the financial statements were issued, our audit procedures included, among others, evaluating the Company’s current liquidity and cash flows, and testing the completeness and accuracy of the data used in management’s assessment. We compared the assumptions underlying the contractual and noncontractual cash flow projections included in the prospective financial information used in management’s liquidity analysis to underlying agreements and historical operating results. Furthermore, we performed sensitivity analyses to assess the impact of changes in key assumptions included in management's prospective financial information and in its plans to support the Company’s liquidity position. We also assessed the sources of liquidity that the Company has available through inspection of executed financing arrangements, availability of financing for LNG cargo transactions through inspection of similar financing arrangements of marketplace participants and analysis of the Company’s history of successfully renewing such arrangements. In addition, we evaluated the adequacy of the Company’s financial statement disclosures.</w:t>
      </w:r>
    </w:p>
    <w:p>
      <w:pPr>
        <w:spacing w:after="0" w:line="200" w:lineRule="exact"/>
        <w:rPr>
          <w:sz w:val="20"/>
          <w:szCs w:val="20"/>
          <w:color w:val="auto"/>
        </w:rPr>
      </w:pPr>
    </w:p>
    <w:p>
      <w:pPr>
        <w:sectPr>
          <w:pgSz w:w="12240" w:h="15840" w:orient="portrait"/>
          <w:cols w:equalWidth="0" w:num="2">
            <w:col w:w="1600" w:space="300"/>
            <w:col w:w="7920"/>
          </w:cols>
          <w:pgMar w:left="1180" w:top="218" w:right="1240" w:bottom="0" w:gutter="0" w:footer="0" w:header="0"/>
          <w:type w:val="continuous"/>
        </w:sect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10, 2025</w:t>
      </w:r>
    </w:p>
    <w:p>
      <w:pPr>
        <w:sectPr>
          <w:pgSz w:w="12240" w:h="15840" w:orient="portrait"/>
          <w:cols w:equalWidth="0" w:num="1">
            <w:col w:w="9820"/>
          </w:cols>
          <w:pgMar w:left="1180" w:top="218" w:right="12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F-4</w:t>
      </w:r>
    </w:p>
    <w:p>
      <w:pPr>
        <w:sectPr>
          <w:pgSz w:w="12240" w:h="15840" w:orient="portrait"/>
          <w:cols w:equalWidth="0" w:num="1">
            <w:col w:w="9820"/>
          </w:cols>
          <w:pgMar w:left="1180" w:top="218" w:right="124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New Fortress Energy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have audited New Fortress Energy Inc.’s internal control over financial reporting as of December 31, 2024, based on criteria established in Internal Control—Integrated Framework issued by the Committee of Sponsoring Organizations of the Treadway Commission (2013 framework) (the COSO criteria). In our opinion, New Fortress Energy Inc. (the Company) maintained, in all material respects, effective internal control over financial reporting as of December 31, 2024, based on the COSO criteria.</w:t>
      </w:r>
    </w:p>
    <w:p>
      <w:pPr>
        <w:spacing w:after="0" w:line="20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2024 consolidated financial statements of the Company and our report dated March 10, 2025 expressed an unqualified opinion thereon.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10, 2025</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ectPr>
          <w:pgSz w:w="12240" w:h="15840" w:orient="portrait"/>
          <w:cols w:equalWidth="0" w:num="1">
            <w:col w:w="9880"/>
          </w:cols>
          <w:pgMar w:left="1180" w:top="218" w:right="11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of December 31, 2024 and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155,414</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472,696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 of allowances of $13,629 and $1,158,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342,371</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113,684</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205,496</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213,104</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1,610,110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979,973</w:t>
            </w:r>
          </w:p>
        </w:tc>
        <w:tc>
          <w:tcPr>
            <w:tcW w:w="0" w:type="dxa"/>
            <w:vAlign w:val="bottom"/>
          </w:tcPr>
          <w:p>
            <w:pPr>
              <w:spacing w:after="0"/>
              <w:rPr>
                <w:sz w:val="1"/>
                <w:szCs w:val="1"/>
                <w:color w:val="auto"/>
              </w:rPr>
            </w:pPr>
          </w:p>
        </w:tc>
      </w:tr>
      <w:tr>
        <w:trPr>
          <w:trHeight w:val="39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3,574,389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5,348,294</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5,842,807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2,481,415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137,793</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618,733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588,385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776,760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272,899</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126,903</w:t>
            </w:r>
          </w:p>
        </w:tc>
        <w:tc>
          <w:tcPr>
            <w:tcW w:w="0" w:type="dxa"/>
            <w:vAlign w:val="bottom"/>
          </w:tcPr>
          <w:p>
            <w:pPr>
              <w:spacing w:after="0"/>
              <w:rPr>
                <w:sz w:val="1"/>
                <w:szCs w:val="1"/>
                <w:color w:val="auto"/>
              </w:rPr>
            </w:pPr>
          </w:p>
        </w:tc>
      </w:tr>
      <w:tr>
        <w:trPr>
          <w:trHeight w:val="185"/>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12,867,496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10,501,245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and short-term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539,132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292,625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473,736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549,489</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471,675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164,548</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174,829</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227,951</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1,707,418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1,706,288</w:t>
            </w:r>
          </w:p>
        </w:tc>
        <w:tc>
          <w:tcPr>
            <w:tcW w:w="0" w:type="dxa"/>
            <w:vAlign w:val="bottom"/>
          </w:tcPr>
          <w:p>
            <w:pPr>
              <w:spacing w:after="0"/>
              <w:rPr>
                <w:sz w:val="1"/>
                <w:szCs w:val="1"/>
                <w:color w:val="auto"/>
              </w:rPr>
            </w:pPr>
          </w:p>
        </w:tc>
      </w:tr>
      <w:tr>
        <w:trPr>
          <w:trHeight w:val="4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8,355,703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6,510,523</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406,494</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44,444</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166,358</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55,627</w:t>
            </w:r>
          </w:p>
        </w:tc>
        <w:tc>
          <w:tcPr>
            <w:tcW w:w="0" w:type="dxa"/>
            <w:vAlign w:val="bottom"/>
          </w:tcPr>
          <w:p>
            <w:pPr>
              <w:spacing w:after="0"/>
              <w:rPr>
                <w:sz w:val="1"/>
                <w:szCs w:val="1"/>
                <w:color w:val="auto"/>
              </w:rPr>
            </w:pPr>
          </w:p>
        </w:tc>
      </w:tr>
      <w:tr>
        <w:trPr>
          <w:trHeight w:val="2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10,777,838</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8,723,376</w:t>
            </w:r>
          </w:p>
        </w:tc>
        <w:tc>
          <w:tcPr>
            <w:tcW w:w="0" w:type="dxa"/>
            <w:vAlign w:val="bottom"/>
          </w:tcPr>
          <w:p>
            <w:pPr>
              <w:spacing w:after="0"/>
              <w:rPr>
                <w:sz w:val="1"/>
                <w:szCs w:val="1"/>
                <w:color w:val="auto"/>
              </w:rPr>
            </w:pPr>
          </w:p>
        </w:tc>
      </w:tr>
      <w:tr>
        <w:trPr>
          <w:trHeight w:val="401"/>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23)</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Series B convertible preferred stock, $0.01 par value, 96,746 shares authorized, issued and outstanding as of</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2024 (0 as of December 31, 2023); aggregate liquidation preference of $96,746 and $0 at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2024 and December 31, 2023</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750.0 million shares authorized, 266.5 million issued and</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0" w:type="dxa"/>
            <w:vAlign w:val="bottom"/>
          </w:tcPr>
          <w:p>
            <w:pPr>
              <w:spacing w:after="0"/>
              <w:rPr>
                <w:sz w:val="1"/>
                <w:szCs w:val="1"/>
                <w:color w:val="auto"/>
              </w:rPr>
            </w:pPr>
          </w:p>
        </w:tc>
      </w:tr>
      <w:tr>
        <w:trPr>
          <w:trHeight w:val="209"/>
        </w:trPr>
        <w:tc>
          <w:tcPr>
            <w:tcW w:w="7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as of December 31, 2024; 205.0 million issued and outstanding as of December 31, 2023</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1,674,312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1,038,530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196,363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527,986</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71,528</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 attributable to NFE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1,876,428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1,640,094</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122,660</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137,775</w:t>
            </w:r>
          </w:p>
        </w:tc>
        <w:tc>
          <w:tcPr>
            <w:tcW w:w="0" w:type="dxa"/>
            <w:vAlign w:val="bottom"/>
          </w:tcPr>
          <w:p>
            <w:pPr>
              <w:spacing w:after="0"/>
              <w:rPr>
                <w:sz w:val="1"/>
                <w:szCs w:val="1"/>
                <w:color w:val="auto"/>
              </w:rPr>
            </w:pPr>
          </w:p>
        </w:tc>
      </w:tr>
      <w:tr>
        <w:trPr>
          <w:trHeight w:val="2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1,999,088</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1,777,869</w:t>
            </w:r>
          </w:p>
        </w:tc>
        <w:tc>
          <w:tcPr>
            <w:tcW w:w="0" w:type="dxa"/>
            <w:vAlign w:val="bottom"/>
          </w:tcPr>
          <w:p>
            <w:pPr>
              <w:spacing w:after="0"/>
              <w:rPr>
                <w:sz w:val="1"/>
                <w:szCs w:val="1"/>
                <w:color w:val="auto"/>
              </w:rPr>
            </w:pPr>
          </w:p>
        </w:tc>
      </w:tr>
      <w:tr>
        <w:trPr>
          <w:trHeight w:val="185"/>
        </w:trPr>
        <w:tc>
          <w:tcPr>
            <w:tcW w:w="7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12,867,496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10,501,245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-6641465</wp:posOffset>
            </wp:positionV>
            <wp:extent cx="6324600" cy="6661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8">
                      <a:extLst>
                        <a:ext uri="{28A0092B-C50C-407E-A947-70E740481C1C}"/>
                      </a:extLst>
                    </a:blip>
                    <a:srcRect/>
                    <a:stretch>
                      <a:fillRect/>
                    </a:stretch>
                  </pic:blipFill>
                  <pic:spPr bwMode="auto">
                    <a:xfrm>
                      <a:off x="0" y="0"/>
                      <a:ext cx="6324600" cy="666115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ectPr>
          <w:pgSz w:w="12240" w:h="15840" w:orient="portrait"/>
          <w:cols w:equalWidth="0" w:num="1">
            <w:col w:w="9900"/>
          </w:cols>
          <w:pgMar w:left="1180" w:top="218" w:right="1160" w:bottom="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 Income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2024, 2023 and 2022</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1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1,698,348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2,060,212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1,978,645</w:t>
            </w:r>
          </w:p>
        </w:tc>
        <w:tc>
          <w:tcPr>
            <w:tcW w:w="0" w:type="dxa"/>
            <w:vAlign w:val="bottom"/>
          </w:tcPr>
          <w:p>
            <w:pPr>
              <w:spacing w:after="0"/>
              <w:rPr>
                <w:sz w:val="1"/>
                <w:szCs w:val="1"/>
                <w:color w:val="auto"/>
              </w:rPr>
            </w:pPr>
          </w:p>
        </w:tc>
      </w:tr>
      <w:tr>
        <w:trPr>
          <w:trHeight w:val="298"/>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charter revenue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212,609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357,158</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novation income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revenue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158,345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76,241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32,469</w:t>
            </w:r>
          </w:p>
        </w:tc>
        <w:tc>
          <w:tcPr>
            <w:tcW w:w="0" w:type="dxa"/>
            <w:vAlign w:val="bottom"/>
          </w:tcPr>
          <w:p>
            <w:pPr>
              <w:spacing w:after="0"/>
              <w:rPr>
                <w:sz w:val="1"/>
                <w:szCs w:val="1"/>
                <w:color w:val="auto"/>
              </w:rPr>
            </w:pPr>
          </w:p>
        </w:tc>
      </w:tr>
      <w:tr>
        <w:trPr>
          <w:trHeight w:val="265"/>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2,364,860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2,413,296</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2,368,272</w:t>
            </w:r>
          </w:p>
        </w:tc>
        <w:tc>
          <w:tcPr>
            <w:tcW w:w="0" w:type="dxa"/>
            <w:vAlign w:val="bottom"/>
          </w:tcPr>
          <w:p>
            <w:pPr>
              <w:spacing w:after="0"/>
              <w:rPr>
                <w:sz w:val="1"/>
                <w:szCs w:val="1"/>
                <w:color w:val="auto"/>
              </w:rPr>
            </w:pPr>
          </w:p>
        </w:tc>
      </w:tr>
      <w:tr>
        <w:trPr>
          <w:trHeight w:val="547"/>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6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0"/>
                <w:szCs w:val="20"/>
                <w:color w:val="auto"/>
              </w:rPr>
              <w:t>Cost of sales (exclusive of depreciation and amortization shown</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1,064,667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877,451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1,010,428</w:t>
            </w:r>
          </w:p>
        </w:tc>
        <w:tc>
          <w:tcPr>
            <w:tcW w:w="0" w:type="dxa"/>
            <w:vAlign w:val="bottom"/>
          </w:tcPr>
          <w:p>
            <w:pPr>
              <w:spacing w:after="0"/>
              <w:rPr>
                <w:sz w:val="1"/>
                <w:szCs w:val="1"/>
                <w:color w:val="auto"/>
              </w:rPr>
            </w:pPr>
          </w:p>
        </w:tc>
      </w:tr>
      <w:tr>
        <w:trPr>
          <w:trHeight w:val="26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separately below)</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105,800</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285,520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236,051</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21,796</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142,640</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 impairment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50,659</w:t>
            </w:r>
          </w:p>
        </w:tc>
        <w:tc>
          <w:tcPr>
            <w:tcW w:w="0" w:type="dxa"/>
            <w:vAlign w:val="bottom"/>
          </w:tcPr>
          <w:p>
            <w:pPr>
              <w:spacing w:after="0"/>
              <w:rPr>
                <w:sz w:val="1"/>
                <w:szCs w:val="1"/>
                <w:color w:val="auto"/>
              </w:rPr>
            </w:pPr>
          </w:p>
        </w:tc>
      </w:tr>
      <w:tr>
        <w:trPr>
          <w:trHeight w:val="28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(gain) on sale of assets,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77,562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1,826,221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1,470,629</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1,630,892</w:t>
            </w:r>
          </w:p>
        </w:tc>
        <w:tc>
          <w:tcPr>
            <w:tcW w:w="0" w:type="dxa"/>
            <w:vAlign w:val="bottom"/>
          </w:tcPr>
          <w:p>
            <w:pPr>
              <w:spacing w:after="0"/>
              <w:rPr>
                <w:sz w:val="1"/>
                <w:szCs w:val="1"/>
                <w:color w:val="auto"/>
              </w:rPr>
            </w:pPr>
          </w:p>
        </w:tc>
      </w:tr>
      <w:tr>
        <w:trPr>
          <w:trHeight w:val="264"/>
        </w:trPr>
        <w:tc>
          <w:tcPr>
            <w:tcW w:w="5860" w:type="dxa"/>
            <w:vAlign w:val="bottom"/>
            <w:gridSpan w:val="2"/>
          </w:tcPr>
          <w:p>
            <w:pPr>
              <w:ind w:left="520"/>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538,639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942,667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737,380</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328,377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expense (income), net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113,077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(48,044)</w:t>
            </w:r>
          </w:p>
        </w:tc>
        <w:tc>
          <w:tcPr>
            <w:tcW w:w="0" w:type="dxa"/>
            <w:vAlign w:val="bottom"/>
          </w:tcPr>
          <w:p>
            <w:pPr>
              <w:spacing w:after="0"/>
              <w:rPr>
                <w:sz w:val="1"/>
                <w:szCs w:val="1"/>
                <w:color w:val="auto"/>
              </w:rPr>
            </w:pPr>
          </w:p>
        </w:tc>
      </w:tr>
      <w:tr>
        <w:trPr>
          <w:trHeight w:val="28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0" w:type="dxa"/>
            <w:vAlign w:val="bottom"/>
          </w:tcPr>
          <w:p>
            <w:pPr>
              <w:spacing w:after="0"/>
              <w:rPr>
                <w:sz w:val="1"/>
                <w:szCs w:val="1"/>
                <w:color w:val="auto"/>
              </w:rPr>
            </w:pPr>
          </w:p>
        </w:tc>
      </w:tr>
      <w:tr>
        <w:trPr>
          <w:trHeight w:val="200"/>
        </w:trPr>
        <w:tc>
          <w:tcPr>
            <w:tcW w:w="5860" w:type="dxa"/>
            <w:vAlign w:val="bottom"/>
            <w:gridSpan w:val="2"/>
          </w:tcPr>
          <w:p>
            <w:pPr>
              <w:ind w:left="220"/>
              <w:spacing w:after="0" w:line="201" w:lineRule="exact"/>
              <w:rPr>
                <w:sz w:val="20"/>
                <w:szCs w:val="20"/>
                <w:color w:val="auto"/>
              </w:rPr>
            </w:pPr>
            <w:r>
              <w:rPr>
                <w:rFonts w:ascii="Times New Roman" w:cs="Times New Roman" w:eastAsia="Times New Roman" w:hAnsi="Times New Roman"/>
                <w:sz w:val="20"/>
                <w:szCs w:val="20"/>
                <w:b w:val="1"/>
                <w:bCs w:val="1"/>
                <w:color w:val="auto"/>
              </w:rPr>
              <w:t>(Loss) income before income from equity method investments</w:t>
            </w: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(172,878)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654,417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533,566</w:t>
            </w:r>
          </w:p>
        </w:tc>
        <w:tc>
          <w:tcPr>
            <w:tcW w:w="0" w:type="dxa"/>
            <w:vAlign w:val="bottom"/>
          </w:tcPr>
          <w:p>
            <w:pPr>
              <w:spacing w:after="0"/>
              <w:rPr>
                <w:sz w:val="1"/>
                <w:szCs w:val="1"/>
                <w:color w:val="auto"/>
              </w:rPr>
            </w:pPr>
          </w:p>
        </w:tc>
      </w:tr>
      <w:tr>
        <w:trPr>
          <w:trHeight w:val="264"/>
        </w:trPr>
        <w:tc>
          <w:tcPr>
            <w:tcW w:w="586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auto"/>
              </w:rPr>
              <w:t>and income taxes</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(loss) from equity method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(472,219)</w:t>
            </w:r>
          </w:p>
        </w:tc>
        <w:tc>
          <w:tcPr>
            <w:tcW w:w="0" w:type="dxa"/>
            <w:vAlign w:val="bottom"/>
          </w:tcPr>
          <w:p>
            <w:pPr>
              <w:spacing w:after="0"/>
              <w:rPr>
                <w:sz w:val="1"/>
                <w:szCs w:val="1"/>
                <w:color w:val="auto"/>
              </w:rPr>
            </w:pPr>
          </w:p>
        </w:tc>
      </w:tr>
      <w:tr>
        <w:trPr>
          <w:trHeight w:val="28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Tax provision (benefit)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69,509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115,513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0" w:type="dxa"/>
            <w:vAlign w:val="bottom"/>
          </w:tcPr>
          <w:p>
            <w:pPr>
              <w:spacing w:after="0"/>
              <w:rPr>
                <w:sz w:val="1"/>
                <w:szCs w:val="1"/>
                <w:color w:val="auto"/>
              </w:rPr>
            </w:pPr>
          </w:p>
        </w:tc>
      </w:tr>
      <w:tr>
        <w:trPr>
          <w:trHeight w:val="245"/>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Net (loss) income</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(242,387)</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Net (loss) income attributable to common stockholders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860" w:type="dxa"/>
            <w:vAlign w:val="bottom"/>
            <w:gridSpan w:val="2"/>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860" w:type="dxa"/>
            <w:vAlign w:val="bottom"/>
            <w:gridSpan w:val="2"/>
            <w:vMerge w:val="continue"/>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(270,106)</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547,882</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(loss) income per share – 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Net (loss) income per share – diluted</w:t>
            </w: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60" w:type="dxa"/>
            <w:vAlign w:val="bottom"/>
            <w:gridSpan w:val="2"/>
            <w:vMerge w:val="continue"/>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Weighted average number of shares outstanding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217,578,487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205,942,837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209,501,298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Weighted average number of shares outstanding – diluted</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86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218,622,419</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206,481,977</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209,854,413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Other comprehensive (loss) income:</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58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68,403</w:t>
            </w:r>
          </w:p>
        </w:tc>
        <w:tc>
          <w:tcPr>
            <w:tcW w:w="0" w:type="dxa"/>
            <w:vAlign w:val="bottom"/>
          </w:tcPr>
          <w:p>
            <w:pPr>
              <w:spacing w:after="0"/>
              <w:rPr>
                <w:sz w:val="1"/>
                <w:szCs w:val="1"/>
                <w:color w:val="auto"/>
              </w:rPr>
            </w:pPr>
          </w:p>
        </w:tc>
      </w:tr>
      <w:tr>
        <w:trPr>
          <w:trHeight w:val="225"/>
        </w:trPr>
        <w:tc>
          <w:tcPr>
            <w:tcW w:w="5860" w:type="dxa"/>
            <w:vAlign w:val="bottom"/>
            <w:gridSpan w:val="2"/>
          </w:tcPr>
          <w:p>
            <w:pPr>
              <w:ind w:left="40"/>
              <w:spacing w:after="0" w:line="225" w:lineRule="exact"/>
              <w:rPr>
                <w:sz w:val="20"/>
                <w:szCs w:val="20"/>
                <w:color w:val="auto"/>
              </w:rPr>
            </w:pPr>
            <w:r>
              <w:rPr>
                <w:rFonts w:ascii="Times New Roman" w:cs="Times New Roman" w:eastAsia="Times New Roman" w:hAnsi="Times New Roman"/>
                <w:sz w:val="20"/>
                <w:szCs w:val="20"/>
                <w:color w:val="auto"/>
              </w:rPr>
              <w:t>Reclassification of net foreign currency translation adjustment realized</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(1,457)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upon sale of foreign subsidiary</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Comprehensive (loss)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(311,855)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565,424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253,189</w:t>
            </w:r>
          </w:p>
        </w:tc>
        <w:tc>
          <w:tcPr>
            <w:tcW w:w="0" w:type="dxa"/>
            <w:vAlign w:val="bottom"/>
          </w:tcPr>
          <w:p>
            <w:pPr>
              <w:spacing w:after="0"/>
              <w:rPr>
                <w:sz w:val="1"/>
                <w:szCs w:val="1"/>
                <w:color w:val="auto"/>
              </w:rPr>
            </w:pPr>
          </w:p>
        </w:tc>
      </w:tr>
      <w:tr>
        <w:trPr>
          <w:trHeight w:val="28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Comprehensive (income) loss attributable to non-controlling interest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10,795</w:t>
            </w:r>
          </w:p>
        </w:tc>
        <w:tc>
          <w:tcPr>
            <w:tcW w:w="0" w:type="dxa"/>
            <w:vAlign w:val="bottom"/>
          </w:tcPr>
          <w:p>
            <w:pPr>
              <w:spacing w:after="0"/>
              <w:rPr>
                <w:sz w:val="1"/>
                <w:szCs w:val="1"/>
                <w:color w:val="auto"/>
              </w:rPr>
            </w:pPr>
          </w:p>
        </w:tc>
      </w:tr>
      <w:tr>
        <w:trPr>
          <w:trHeight w:val="245"/>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Comprehensive (loss) income attributable to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(317,478)</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564,012</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263,984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-7470140</wp:posOffset>
            </wp:positionV>
            <wp:extent cx="6324600" cy="7489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extLst>
                    </a:blip>
                    <a:srcRect/>
                    <a:stretch>
                      <a:fillRect/>
                    </a:stretch>
                  </pic:blipFill>
                  <pic:spPr bwMode="auto">
                    <a:xfrm>
                      <a:off x="0" y="0"/>
                      <a:ext cx="6324600" cy="7489825"/>
                    </a:xfrm>
                    <a:prstGeom prst="rect">
                      <a:avLst/>
                    </a:prstGeom>
                    <a:noFill/>
                  </pic:spPr>
                </pic:pic>
              </a:graphicData>
            </a:graphic>
          </wp:anchor>
        </w:drawing>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ectPr>
          <w:pgSz w:w="12240" w:h="15840" w:orient="portrait"/>
          <w:cols w:equalWidth="0" w:num="1">
            <w:col w:w="9900"/>
          </w:cols>
          <w:pgMar w:left="1180" w:top="210" w:right="116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2024, 2023 and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amounts)</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480" w:type="dxa"/>
            <w:vAlign w:val="bottom"/>
          </w:tcPr>
          <w:p>
            <w:pPr>
              <w:spacing w:after="0"/>
              <w:rPr>
                <w:sz w:val="15"/>
                <w:szCs w:val="15"/>
                <w:color w:val="auto"/>
              </w:rPr>
            </w:pPr>
          </w:p>
        </w:tc>
        <w:tc>
          <w:tcPr>
            <w:tcW w:w="20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Series B convertible preferred</w:t>
            </w:r>
          </w:p>
        </w:tc>
        <w:tc>
          <w:tcPr>
            <w:tcW w:w="60" w:type="dxa"/>
            <w:vAlign w:val="bottom"/>
          </w:tcPr>
          <w:p>
            <w:pPr>
              <w:spacing w:after="0"/>
              <w:rPr>
                <w:sz w:val="15"/>
                <w:szCs w:val="15"/>
                <w:color w:val="auto"/>
              </w:rPr>
            </w:pPr>
          </w:p>
        </w:tc>
        <w:tc>
          <w:tcPr>
            <w:tcW w:w="2080" w:type="dxa"/>
            <w:vAlign w:val="bottom"/>
            <w:gridSpan w:val="4"/>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3480" w:type="dxa"/>
            <w:vAlign w:val="bottom"/>
          </w:tcPr>
          <w:p>
            <w:pPr>
              <w:spacing w:after="0"/>
              <w:rPr>
                <w:sz w:val="12"/>
                <w:szCs w:val="12"/>
                <w:color w:val="auto"/>
              </w:rPr>
            </w:pPr>
          </w:p>
        </w:tc>
        <w:tc>
          <w:tcPr>
            <w:tcW w:w="1260" w:type="dxa"/>
            <w:vAlign w:val="bottom"/>
            <w:gridSpan w:val="3"/>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4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vMerge w:val="restart"/>
          </w:tcPr>
          <w:p>
            <w:pPr>
              <w:jc w:val="center"/>
              <w:ind w:right="13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ind w:right="5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vMerge w:val="restart"/>
          </w:tcPr>
          <w:p>
            <w:pPr>
              <w:spacing w:after="0"/>
              <w:rPr>
                <w:sz w:val="4"/>
                <w:szCs w:val="4"/>
                <w:color w:val="auto"/>
              </w:rPr>
            </w:pPr>
          </w:p>
        </w:tc>
        <w:tc>
          <w:tcPr>
            <w:tcW w:w="11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vMerge w:val="restart"/>
          </w:tcPr>
          <w:p>
            <w:pPr>
              <w:spacing w:after="0"/>
              <w:rPr>
                <w:sz w:val="4"/>
                <w:szCs w:val="4"/>
                <w:color w:val="auto"/>
              </w:rPr>
            </w:pPr>
          </w:p>
        </w:tc>
        <w:tc>
          <w:tcPr>
            <w:tcW w:w="1100" w:type="dxa"/>
            <w:vAlign w:val="bottom"/>
            <w:gridSpan w:val="2"/>
            <w:vMerge w:val="restart"/>
          </w:tcPr>
          <w:p>
            <w:pPr>
              <w:jc w:val="right"/>
              <w:ind w:right="10"/>
              <w:spacing w:after="0" w:line="100"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vMerge w:val="restart"/>
          </w:tcPr>
          <w:p>
            <w:pPr>
              <w:jc w:val="center"/>
              <w:ind w:right="90"/>
              <w:spacing w:after="0" w:line="10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30"/>
        </w:trPr>
        <w:tc>
          <w:tcPr>
            <w:tcW w:w="3480" w:type="dxa"/>
            <w:vAlign w:val="bottom"/>
          </w:tcPr>
          <w:p>
            <w:pPr>
              <w:spacing w:after="0"/>
              <w:rPr>
                <w:sz w:val="2"/>
                <w:szCs w:val="2"/>
                <w:color w:val="auto"/>
              </w:rPr>
            </w:pPr>
          </w:p>
        </w:tc>
        <w:tc>
          <w:tcPr>
            <w:tcW w:w="1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
                <w:szCs w:val="2"/>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9"/>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206,863,242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1,923,990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202,479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1,994,054</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184,786</w:t>
            </w:r>
          </w:p>
        </w:tc>
        <w:tc>
          <w:tcPr>
            <w:tcW w:w="0" w:type="dxa"/>
            <w:vAlign w:val="bottom"/>
          </w:tcPr>
          <w:p>
            <w:pPr>
              <w:spacing w:after="0"/>
              <w:rPr>
                <w:sz w:val="1"/>
                <w:szCs w:val="1"/>
                <w:color w:val="auto"/>
              </w:rPr>
            </w:pPr>
          </w:p>
        </w:tc>
      </w:tr>
      <w:tr>
        <w:trPr>
          <w:trHeight w:val="19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68,403</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Currency translation adjustment released upon</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Sergipe Sale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30,382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30,382</w:t>
            </w:r>
          </w:p>
        </w:tc>
        <w:tc>
          <w:tcPr>
            <w:tcW w:w="0" w:type="dxa"/>
            <w:vAlign w:val="bottom"/>
          </w:tcPr>
          <w:p>
            <w:pPr>
              <w:spacing w:after="0"/>
              <w:rPr>
                <w:sz w:val="1"/>
                <w:szCs w:val="1"/>
                <w:color w:val="auto"/>
              </w:rPr>
            </w:pPr>
          </w:p>
        </w:tc>
      </w:tr>
      <w:tr>
        <w:trPr>
          <w:trHeight w:val="19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shares for vested RSU/PSUs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3,426,213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 withheld from employees related to share-</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based compensation, at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(1,519,367)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(74,822)</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Deconsolidation of Nanook, Celsius and Penguin</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SPVs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(23,569)</w:t>
            </w:r>
          </w:p>
        </w:tc>
        <w:tc>
          <w:tcPr>
            <w:tcW w:w="0" w:type="dxa"/>
            <w:vAlign w:val="bottom"/>
          </w:tcPr>
          <w:p>
            <w:pPr>
              <w:spacing w:after="0"/>
              <w:rPr>
                <w:sz w:val="1"/>
                <w:szCs w:val="1"/>
                <w:color w:val="auto"/>
              </w:rPr>
            </w:pPr>
          </w:p>
        </w:tc>
      </w:tr>
      <w:tr>
        <w:trPr>
          <w:trHeight w:val="23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(709,284)</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(725,360)</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208,770,088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1,170,254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55,398</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152,039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1,441,859</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547,882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548,876</w:t>
            </w:r>
          </w:p>
        </w:tc>
        <w:tc>
          <w:tcPr>
            <w:tcW w:w="0" w:type="dxa"/>
            <w:vAlign w:val="bottom"/>
          </w:tcPr>
          <w:p>
            <w:pPr>
              <w:spacing w:after="0"/>
              <w:rPr>
                <w:sz w:val="1"/>
                <w:szCs w:val="1"/>
                <w:color w:val="auto"/>
              </w:rPr>
            </w:pPr>
          </w:p>
        </w:tc>
      </w:tr>
      <w:tr>
        <w:trPr>
          <w:trHeight w:val="22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16,548</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and cancellation of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(4,100,000)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(123,778)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(123,819)</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shares for vested share-based</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689,401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 withheld from employees related to share-</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based compensation, at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(328,083)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0" w:type="dxa"/>
            <w:vAlign w:val="bottom"/>
          </w:tcPr>
          <w:p>
            <w:pPr>
              <w:spacing w:after="0"/>
              <w:rPr>
                <w:sz w:val="1"/>
                <w:szCs w:val="1"/>
                <w:color w:val="auto"/>
              </w:rPr>
            </w:pPr>
          </w:p>
        </w:tc>
      </w:tr>
      <w:tr>
        <w:trPr>
          <w:trHeight w:val="23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(81,976)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(97,652)</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205,031,406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1,038,530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71,528</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1,777,869</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(249,039)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(242,387)</w:t>
            </w:r>
          </w:p>
        </w:tc>
        <w:tc>
          <w:tcPr>
            <w:tcW w:w="0" w:type="dxa"/>
            <w:vAlign w:val="bottom"/>
          </w:tcPr>
          <w:p>
            <w:pPr>
              <w:spacing w:after="0"/>
              <w:rPr>
                <w:sz w:val="1"/>
                <w:szCs w:val="1"/>
                <w:color w:val="auto"/>
              </w:rPr>
            </w:pPr>
          </w:p>
        </w:tc>
      </w:tr>
      <w:tr>
        <w:trPr>
          <w:trHeight w:val="22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(68,439)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(69,468)</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50,625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50,625</w:t>
            </w:r>
          </w:p>
        </w:tc>
        <w:tc>
          <w:tcPr>
            <w:tcW w:w="0" w:type="dxa"/>
            <w:vAlign w:val="bottom"/>
          </w:tcPr>
          <w:p>
            <w:pPr>
              <w:spacing w:after="0"/>
              <w:rPr>
                <w:sz w:val="1"/>
                <w:szCs w:val="1"/>
                <w:color w:val="auto"/>
              </w:rPr>
            </w:pPr>
          </w:p>
        </w:tc>
      </w:tr>
      <w:tr>
        <w:trPr>
          <w:trHeight w:val="19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stock issued, net of issuance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61,389,733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562,201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562,815</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shares for vested share-based</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54,035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 withheld from employees related to share-</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based compensation, at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96"/>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preferred stock and deemed dividend</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(Note 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107,189</w:t>
            </w:r>
          </w:p>
        </w:tc>
        <w:tc>
          <w:tcPr>
            <w:tcW w:w="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(10,833)</w:t>
            </w:r>
          </w:p>
        </w:tc>
        <w:tc>
          <w:tcPr>
            <w:tcW w:w="0" w:type="dxa"/>
            <w:vAlign w:val="bottom"/>
          </w:tcPr>
          <w:p>
            <w:pPr>
              <w:spacing w:after="0"/>
              <w:rPr>
                <w:sz w:val="1"/>
                <w:szCs w:val="1"/>
                <w:color w:val="auto"/>
              </w:rPr>
            </w:pPr>
          </w:p>
        </w:tc>
      </w:tr>
      <w:tr>
        <w:trPr>
          <w:trHeight w:val="37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Conversion of Series B convertible preferred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(16,619)</w:t>
            </w:r>
          </w:p>
        </w:tc>
        <w:tc>
          <w:tcPr>
            <w:tcW w:w="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16,619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16,619</w:t>
            </w:r>
          </w:p>
        </w:tc>
        <w:tc>
          <w:tcPr>
            <w:tcW w:w="0" w:type="dxa"/>
            <w:vAlign w:val="bottom"/>
          </w:tcPr>
          <w:p>
            <w:pPr>
              <w:spacing w:after="0"/>
              <w:rPr>
                <w:sz w:val="1"/>
                <w:szCs w:val="1"/>
                <w:color w:val="auto"/>
              </w:rPr>
            </w:pPr>
          </w:p>
        </w:tc>
      </w:tr>
      <w:tr>
        <w:trPr>
          <w:trHeight w:val="23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(64,979)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(20,738)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(85,717)</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90,570</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266,459,093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1,674,312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122,660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1,999,088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-4907915</wp:posOffset>
            </wp:positionV>
            <wp:extent cx="8610600" cy="4927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a:extLst>
                        <a:ext uri="{28A0092B-C50C-407E-A947-70E740481C1C}"/>
                      </a:extLst>
                    </a:blip>
                    <a:srcRect/>
                    <a:stretch>
                      <a:fillRect/>
                    </a:stretch>
                  </pic:blipFill>
                  <pic:spPr bwMode="auto">
                    <a:xfrm>
                      <a:off x="0" y="0"/>
                      <a:ext cx="8610600" cy="492760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ectPr>
          <w:pgSz w:w="15840" w:h="12240" w:orient="landscape"/>
          <w:cols w:equalWidth="0" w:num="1">
            <w:col w:w="13500"/>
          </w:cols>
          <w:pgMar w:left="1180" w:top="218" w:right="11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2024, 2023 and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220"/>
        </w:trPr>
        <w:tc>
          <w:tcPr>
            <w:tcW w:w="5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(242,387)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548,876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184,786</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for:</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deferred financing costs and debt guarantee,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2,536</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143,589</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(Earnings) losses of equity method investees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472,219</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expected credit losses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869</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(279,536)</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30,382</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transferred to Energos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(95,487)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(156,997)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(49,686)</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the disposal of equity method investment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(gain) on sale of assets, net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270,063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14,997</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153,338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(60,243)</w:t>
            </w:r>
          </w:p>
        </w:tc>
      </w:tr>
      <w:tr>
        <w:trPr>
          <w:trHeight w:val="225"/>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(increase) in receivables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(139,938)</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inventories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(7,933)</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(30,086)</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right-of-use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164,136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63,593</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accounts payable/accrued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187,792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78,065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67,741</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(160,604)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(63,493)</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increase in other liabilities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(37,171)</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141,335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5,314</w:t>
            </w:r>
          </w:p>
        </w:tc>
      </w:tr>
      <w:tr>
        <w:trPr>
          <w:trHeight w:val="22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586,742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824,756</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355,111</w:t>
            </w:r>
          </w:p>
        </w:tc>
      </w:tr>
      <w:tr>
        <w:trPr>
          <w:trHeight w:val="332"/>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(2,621,234)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(3,029,834)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(1,174,008)</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net investment in lease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593,000</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equity method investment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136,365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500,076</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328,999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Miami Facility</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22,887</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9,227</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r>
      <w:tr>
        <w:trPr>
          <w:trHeight w:val="22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(2,074,647)</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(2,904,143)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(82,726)</w:t>
            </w:r>
          </w:p>
        </w:tc>
      </w:tr>
      <w:tr>
        <w:trPr>
          <w:trHeight w:val="302"/>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borrowings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5,865,299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3,005,387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2,032,020</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(146,722)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(17,598)</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(3,801,034)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(686,508)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(1,520,813)</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Class A stock</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386,583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dividends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(723,962)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(99,050)</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(14,248)</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(28,161)</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(72,602)</w:t>
            </w:r>
          </w:p>
        </w:tc>
      </w:tr>
      <w:tr>
        <w:trPr>
          <w:trHeight w:val="221"/>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2,224,568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1,528,950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321,957</w:t>
            </w:r>
          </w:p>
        </w:tc>
      </w:tr>
      <w:tr>
        <w:trPr>
          <w:trHeight w:val="69"/>
        </w:trPr>
        <w:tc>
          <w:tcPr>
            <w:tcW w:w="58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07"/>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Impact of changes in foreign exchange rates on cash and cash equivalents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(81,900)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r>
      <w:tr>
        <w:trPr>
          <w:trHeight w:val="225"/>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654,763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(544,269)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591,053</w:t>
            </w:r>
          </w:p>
        </w:tc>
      </w:tr>
      <w:tr>
        <w:trPr>
          <w:trHeight w:val="233"/>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period</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310,814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855,083</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264,030</w:t>
            </w:r>
          </w:p>
        </w:tc>
      </w:tr>
      <w:tr>
        <w:trPr>
          <w:trHeight w:val="200"/>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965,577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310,814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855,083</w:t>
            </w:r>
          </w:p>
        </w:tc>
      </w:tr>
      <w:tr>
        <w:trPr>
          <w:trHeight w:val="20"/>
        </w:trPr>
        <w:tc>
          <w:tcPr>
            <w:tcW w:w="5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-6336665</wp:posOffset>
            </wp:positionV>
            <wp:extent cx="6324600" cy="635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1">
                      <a:extLst>
                        <a:ext uri="{28A0092B-C50C-407E-A947-70E740481C1C}"/>
                      </a:extLst>
                    </a:blip>
                    <a:srcRect/>
                    <a:stretch>
                      <a:fillRect/>
                    </a:stretch>
                  </pic:blipFill>
                  <pic:spPr bwMode="auto">
                    <a:xfrm>
                      <a:off x="0" y="0"/>
                      <a:ext cx="6324600" cy="63563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ectPr>
          <w:pgSz w:w="12240" w:h="15840" w:orient="portrait"/>
          <w:cols w:equalWidth="0" w:num="1">
            <w:col w:w="9900"/>
          </w:cols>
          <w:pgMar w:left="1180" w:top="218" w:right="116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2024, 2023 and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2"/>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interest, net of capitalized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105,784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100,304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160,618</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151,210</w:t>
            </w:r>
          </w:p>
        </w:tc>
      </w:tr>
      <w:tr>
        <w:trPr>
          <w:trHeight w:val="248"/>
        </w:trPr>
        <w:tc>
          <w:tcPr>
            <w:tcW w:w="5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2"/>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Changes in accounts payable and accrued liabilities associated with construction in progress and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83"/>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additions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(267,366)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322,598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284,390</w:t>
            </w:r>
          </w:p>
        </w:tc>
      </w:tr>
      <w:tr>
        <w:trPr>
          <w:trHeight w:val="222"/>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liabilities associated with construction in progress and property, plant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3"/>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equipment additions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463,657</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738,163</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422,391</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Consideration received on asset sale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on financing obligation paid to Energos by third party charters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(24,949)</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Shares received in Hilli Exchange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Energos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129,518</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626,310</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Preferred shares issued and debt assumed in PortoCem acquisition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(125,198)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contingent payments in the Lins acquisition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Deemed dividend related to Series B preferred stock</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Non-cash financing costs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181,928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-1905635</wp:posOffset>
            </wp:positionV>
            <wp:extent cx="6311900" cy="1930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2">
                      <a:extLst>
                        <a:ext uri="{28A0092B-C50C-407E-A947-70E740481C1C}"/>
                      </a:extLst>
                    </a:blip>
                    <a:srcRect/>
                    <a:stretch>
                      <a:fillRect/>
                    </a:stretch>
                  </pic:blipFill>
                  <pic:spPr bwMode="auto">
                    <a:xfrm>
                      <a:off x="0" y="0"/>
                      <a:ext cx="6311900" cy="19304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-2810510</wp:posOffset>
            </wp:positionV>
            <wp:extent cx="6311900" cy="177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a:extLst>
                        <a:ext uri="{28A0092B-C50C-407E-A947-70E740481C1C}"/>
                      </a:extLst>
                    </a:blip>
                    <a:srcRect/>
                    <a:stretch>
                      <a:fillRect/>
                    </a:stretch>
                  </pic:blipFill>
                  <pic:spPr bwMode="auto">
                    <a:xfrm>
                      <a:off x="0" y="0"/>
                      <a:ext cx="63119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-2505710</wp:posOffset>
            </wp:positionV>
            <wp:extent cx="6311900" cy="177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4">
                      <a:extLst>
                        <a:ext uri="{28A0092B-C50C-407E-A947-70E740481C1C}"/>
                      </a:extLst>
                    </a:blip>
                    <a:srcRect/>
                    <a:stretch>
                      <a:fillRect/>
                    </a:stretch>
                  </pic:blipFill>
                  <pic:spPr bwMode="auto">
                    <a:xfrm>
                      <a:off x="0" y="0"/>
                      <a:ext cx="6311900" cy="177800"/>
                    </a:xfrm>
                    <a:prstGeom prst="rect">
                      <a:avLst/>
                    </a:prstGeom>
                    <a:noFill/>
                  </pic:spPr>
                </pic:pic>
              </a:graphicData>
            </a:graphic>
          </wp:anchor>
        </w:drawing>
      </w:r>
    </w:p>
    <w:p>
      <w:pPr>
        <w:spacing w:after="0" w:line="15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The following table identifies the balance sheet line-items included in Cash and cash equivalents, Current restricted cash, and Non-current restricted cash presented in Other non-current assets, net on the Consolidated Balance Sheets (Note 17) presented in the Consolidated Statement of Cash Flows:</w:t>
      </w: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0"/>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492,881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155,414</w:t>
            </w:r>
          </w:p>
        </w:tc>
      </w:tr>
      <w:tr>
        <w:trPr>
          <w:trHeight w:val="248"/>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Current restricted cash</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472,696</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155,400</w:t>
            </w:r>
          </w:p>
        </w:tc>
      </w:tr>
      <w:tr>
        <w:trPr>
          <w:trHeight w:val="20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965,577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310,814</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-488315</wp:posOffset>
            </wp:positionV>
            <wp:extent cx="6324600" cy="508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5">
                      <a:extLst>
                        <a:ext uri="{28A0092B-C50C-407E-A947-70E740481C1C}"/>
                      </a:extLst>
                    </a:blip>
                    <a:srcRect/>
                    <a:stretch>
                      <a:fillRect/>
                    </a:stretch>
                  </pic:blipFill>
                  <pic:spPr bwMode="auto">
                    <a:xfrm>
                      <a:off x="0" y="0"/>
                      <a:ext cx="6324600" cy="50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ectPr>
          <w:pgSz w:w="12240" w:h="15840" w:orient="portrait"/>
          <w:cols w:equalWidth="0" w:num="1">
            <w:col w:w="9900"/>
          </w:cols>
          <w:pgMar w:left="1180" w:top="218" w:right="1160" w:bottom="0" w:gutter="0" w:footer="0" w:header="0"/>
          <w:type w:val="continuous"/>
        </w:sectPr>
      </w:pPr>
    </w:p>
    <w:bookmarkStart w:id="112" w:name="page113"/>
    <w:bookmarkEnd w:id="112"/>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 Organization</w:t>
      </w:r>
    </w:p>
    <w:p>
      <w:pPr>
        <w:spacing w:after="0" w:line="257"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spacing w:after="0" w:line="208"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 The Company's CODM is its Chief Executive Officer.</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principal accounting policies adopted are set out below.</w:t>
      </w:r>
    </w:p>
    <w:p>
      <w:pPr>
        <w:spacing w:after="0" w:line="250" w:lineRule="exact"/>
        <w:rPr>
          <w:sz w:val="20"/>
          <w:szCs w:val="20"/>
          <w:color w:val="auto"/>
        </w:rPr>
      </w:pPr>
    </w:p>
    <w:p>
      <w:pPr>
        <w:ind w:left="730" w:hanging="730"/>
        <w:spacing w:after="0"/>
        <w:tabs>
          <w:tab w:leader="none" w:pos="73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Basis of presentation and principles of consolidation</w:t>
      </w:r>
    </w:p>
    <w:p>
      <w:pPr>
        <w:spacing w:after="0" w:line="2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The accompanying consolidated financial statements contained herein were prepared in accordance with accounting principles generally accepted in the United States of America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spacing w:after="0" w:line="208"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Non-controlling interests are classified as a separate component of equity on the Consolidated Balance Sheets and Consolidated Statements of Changes in Stockholders’ Equity. Additionally, net income and comprehensive income (loss) attributable to non-controlling interests are reflected separately from consolidated net income and comprehensive income in the Consolidated Statements of Operations and Comprehensive (Loss) Income and Consolidated Statements of Changes in Stockholders’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spacing w:after="0" w:line="194" w:lineRule="exact"/>
        <w:rPr>
          <w:sz w:val="20"/>
          <w:szCs w:val="20"/>
          <w:color w:val="auto"/>
        </w:rPr>
      </w:pPr>
    </w:p>
    <w:p>
      <w:pPr>
        <w:ind w:left="10"/>
        <w:spacing w:after="0" w:line="235" w:lineRule="auto"/>
        <w:rPr>
          <w:sz w:val="20"/>
          <w:szCs w:val="20"/>
          <w:color w:val="auto"/>
        </w:rPr>
      </w:pPr>
      <w:r>
        <w:rPr>
          <w:rFonts w:ascii="Times New Roman" w:cs="Times New Roman" w:eastAsia="Times New Roman" w:hAnsi="Times New Roman"/>
          <w:sz w:val="20"/>
          <w:szCs w:val="20"/>
          <w:color w:val="auto"/>
        </w:rPr>
        <w:t>The accompanying financial statements have been prepared on the basis that the Company will continue as a going concern over the next twelve months from the date of issuance of these financial statements, which assumes the realization of assets and the satisfaction of liabilities in the normal course of business. Under ASC 205-40, when first assessing whether substantial doubt is raised about the entity’s ability to continue as a going concern, management cannot consider the potential mitigating effects of its plans that have not been fully implemented at the assessment date. Management has concluded that the Company’s current liquidity and forecasted cash flows (which exclude the effect of the Transactions as defined below), from operations are not sufficient to support, in full, obligations as they become due. Management has approved a plan to support its liquidity position by: (i) delaying certain discretionary payments, including planned capital expenditures and dividends, that are within management’s control, and (ii) continuously renewing the LNG cargo financing facility over the succeeding twelve months. Management’s plan also includes the availability of a backstop agreement that was executed in March 2025 (Note 30) and provides up to $100,000 of availability. Management concluded that such plans are probable of being implemented and the Company will have sufficient liquidity to meet its obligations as they become due over the next twelve months from the date that the consolidated financial statements were issued. In addition to management’s plan outlined above, the Company continues to explore asset sales, settlement of claims and other strategic transactions (collectively, the “Transactions”) that seek to optimize the value of the Company’s portfolio while providing additional liquidity and cash flow to the Company. However, there are inherent uncertainties, as the execution of the Transactions are outside of management’s control and therefore there are no assurances that these transactions will be executed. Furthermore, there are inherent risks with the Company’s ability to continue to implement plans in future periods that will support its liquidity position, such as its ability to further extend the terms of vendor payments and other obligations.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F-11</w:t>
      </w:r>
    </w:p>
    <w:p>
      <w:pPr>
        <w:sectPr>
          <w:pgSz w:w="12240" w:h="15840" w:orient="portrait"/>
          <w:cols w:equalWidth="0" w:num="1">
            <w:col w:w="9890"/>
          </w:cols>
          <w:pgMar w:left="1170" w:top="218" w:right="1180" w:bottom="0" w:gutter="0" w:footer="0" w:header="0"/>
          <w:type w:val="continuous"/>
        </w:sectPr>
      </w:pPr>
    </w:p>
    <w:bookmarkStart w:id="113" w:name="page114"/>
    <w:bookmarkEnd w:id="113"/>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30" w:hanging="730"/>
        <w:spacing w:after="0"/>
        <w:tabs>
          <w:tab w:leader="none" w:pos="73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estimates</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204" w:lineRule="exact"/>
        <w:rPr>
          <w:sz w:val="20"/>
          <w:szCs w:val="20"/>
          <w:color w:val="auto"/>
        </w:rPr>
      </w:pPr>
    </w:p>
    <w:p>
      <w:pPr>
        <w:ind w:left="730" w:hanging="730"/>
        <w:spacing w:after="0"/>
        <w:tabs>
          <w:tab w:leader="none" w:pos="73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currencies</w:t>
      </w:r>
    </w:p>
    <w:p>
      <w:pPr>
        <w:spacing w:after="0" w:line="250"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 has certain foreign subsidiaries in which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w:t>
      </w:r>
    </w:p>
    <w:p>
      <w:pPr>
        <w:spacing w:after="0" w:line="204" w:lineRule="exact"/>
        <w:rPr>
          <w:sz w:val="20"/>
          <w:szCs w:val="20"/>
          <w:color w:val="auto"/>
        </w:rPr>
      </w:pPr>
    </w:p>
    <w:p>
      <w:pPr>
        <w:ind w:left="10" w:right="160"/>
        <w:spacing w:after="0" w:line="253" w:lineRule="auto"/>
        <w:rPr>
          <w:sz w:val="20"/>
          <w:szCs w:val="20"/>
          <w:color w:val="auto"/>
        </w:rPr>
      </w:pPr>
      <w:r>
        <w:rPr>
          <w:rFonts w:ascii="Times New Roman" w:cs="Times New Roman" w:eastAsia="Times New Roman" w:hAnsi="Times New Roman"/>
          <w:sz w:val="20"/>
          <w:szCs w:val="20"/>
          <w:color w:val="auto"/>
        </w:rPr>
        <w:t>The Company also has foreign subsidiaries that conduct business in currencies other than their respective functional currencies. Transactions are remeasured to the subsidiaries’ functional currency at the exchange rate in effect on the dates of such transactions. Net realized foreign currency gains or losses relating to the differences between these recorded amounts and the functional currency equivalent actually received or paid are included within Other expense (income), net in the Consolidated Statements of Operations and Comprehensive (Loss) Income. Gains and losses on intercompany foreign currency transactions that are long-term in nature and which the Company does not intend to settle in the foreseeable future, are also recognized in Accumulated other comprehensive income. Accumulated foreign currency translation adjustments are reclassified from Accumulated other comprehensive income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spacing w:after="0" w:line="213" w:lineRule="exact"/>
        <w:rPr>
          <w:sz w:val="20"/>
          <w:szCs w:val="20"/>
          <w:color w:val="auto"/>
        </w:rPr>
      </w:pPr>
    </w:p>
    <w:p>
      <w:pPr>
        <w:ind w:left="730" w:hanging="730"/>
        <w:spacing w:after="0"/>
        <w:tabs>
          <w:tab w:leader="none" w:pos="73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w:t>
      </w:r>
    </w:p>
    <w:p>
      <w:pPr>
        <w:spacing w:after="0" w:line="250" w:lineRule="exact"/>
        <w:rPr>
          <w:sz w:val="20"/>
          <w:szCs w:val="20"/>
          <w:color w:val="auto"/>
        </w:rPr>
      </w:pPr>
    </w:p>
    <w:p>
      <w:pPr>
        <w:ind w:left="10" w:right="600"/>
        <w:spacing w:after="0" w:line="281"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three months or less at the time of purchase to be cash equivalents.</w:t>
      </w:r>
    </w:p>
    <w:p>
      <w:pPr>
        <w:spacing w:after="0" w:line="181" w:lineRule="exact"/>
        <w:rPr>
          <w:sz w:val="20"/>
          <w:szCs w:val="20"/>
          <w:color w:val="auto"/>
        </w:rPr>
      </w:pPr>
    </w:p>
    <w:p>
      <w:pPr>
        <w:ind w:left="730" w:hanging="730"/>
        <w:spacing w:after="0"/>
        <w:tabs>
          <w:tab w:leader="none" w:pos="73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cash</w:t>
      </w:r>
    </w:p>
    <w:p>
      <w:pPr>
        <w:spacing w:after="0" w:line="250" w:lineRule="exact"/>
        <w:rPr>
          <w:sz w:val="20"/>
          <w:szCs w:val="20"/>
          <w:color w:val="auto"/>
        </w:rPr>
      </w:pPr>
    </w:p>
    <w:p>
      <w:pPr>
        <w:ind w:left="10" w:right="660"/>
        <w:spacing w:after="0" w:line="281" w:lineRule="auto"/>
        <w:rPr>
          <w:sz w:val="20"/>
          <w:szCs w:val="20"/>
          <w:color w:val="auto"/>
        </w:rPr>
      </w:pPr>
      <w:r>
        <w:rPr>
          <w:rFonts w:ascii="Times New Roman" w:cs="Times New Roman" w:eastAsia="Times New Roman" w:hAnsi="Times New Roman"/>
          <w:sz w:val="20"/>
          <w:szCs w:val="20"/>
          <w:color w:val="auto"/>
        </w:rPr>
        <w:t>Restricted cash consists of funds that are contractually restricted as to usage or withdrawal and have been presented separately from cash and cash equivalents on the Consolidated Balance Sheets.</w:t>
      </w:r>
    </w:p>
    <w:p>
      <w:pPr>
        <w:spacing w:after="0" w:line="181" w:lineRule="exact"/>
        <w:rPr>
          <w:sz w:val="20"/>
          <w:szCs w:val="20"/>
          <w:color w:val="auto"/>
        </w:rPr>
      </w:pPr>
    </w:p>
    <w:p>
      <w:pPr>
        <w:ind w:left="730" w:hanging="730"/>
        <w:spacing w:after="0"/>
        <w:tabs>
          <w:tab w:leader="none" w:pos="73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w:t>
      </w:r>
    </w:p>
    <w:p>
      <w:pPr>
        <w:spacing w:after="0" w:line="250"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Receivables are contractual rights to receive cash on a fixed or determinable date and are recognized on the balance sheet as the amount invoiced to the customer, net of an allowance for current expected credit losses. Accounts receivable are carried at amortized cost. Amounts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(Loss) Income.</w:t>
      </w:r>
    </w:p>
    <w:p>
      <w:pPr>
        <w:spacing w:after="0" w:line="213" w:lineRule="exact"/>
        <w:rPr>
          <w:sz w:val="20"/>
          <w:szCs w:val="20"/>
          <w:color w:val="auto"/>
        </w:rPr>
      </w:pPr>
    </w:p>
    <w:p>
      <w:pPr>
        <w:ind w:left="730" w:hanging="730"/>
        <w:spacing w:after="0"/>
        <w:tabs>
          <w:tab w:leader="none" w:pos="73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50" w:lineRule="exact"/>
        <w:rPr>
          <w:sz w:val="20"/>
          <w:szCs w:val="20"/>
          <w:color w:val="auto"/>
        </w:rPr>
      </w:pPr>
    </w:p>
    <w:p>
      <w:pPr>
        <w:ind w:left="10" w:right="260"/>
        <w:spacing w:after="0" w:line="260" w:lineRule="auto"/>
        <w:rPr>
          <w:sz w:val="20"/>
          <w:szCs w:val="20"/>
          <w:color w:val="auto"/>
        </w:rPr>
      </w:pPr>
      <w:r>
        <w:rPr>
          <w:rFonts w:ascii="Times New Roman" w:cs="Times New Roman" w:eastAsia="Times New Roman" w:hAnsi="Times New Roman"/>
          <w:sz w:val="20"/>
          <w:szCs w:val="20"/>
          <w:color w:val="auto"/>
        </w:rPr>
        <w:t>LNG and natural gas inventories, bunker fuel inventories and automotive diesel oil inventories are recorded at weighted average cost, and materials and other inventory are recorded at cost. The Company’s cost to convert natural gas to LNG, which primarily consists of labor, depreciation and other direct costs to operate liquefaction facilities, is reflected in Inventory on the Consolidated Balance Sheets.</w:t>
      </w:r>
    </w:p>
    <w:p>
      <w:pPr>
        <w:spacing w:after="0" w:line="203" w:lineRule="exact"/>
        <w:rPr>
          <w:sz w:val="20"/>
          <w:szCs w:val="20"/>
          <w:color w:val="auto"/>
        </w:rPr>
      </w:pPr>
    </w:p>
    <w:p>
      <w:pPr>
        <w:ind w:left="10" w:right="680"/>
        <w:spacing w:after="0" w:line="309" w:lineRule="auto"/>
        <w:rPr>
          <w:sz w:val="20"/>
          <w:szCs w:val="20"/>
          <w:color w:val="auto"/>
        </w:rPr>
      </w:pPr>
      <w:r>
        <w:rPr>
          <w:rFonts w:ascii="Times New Roman" w:cs="Times New Roman" w:eastAsia="Times New Roman" w:hAnsi="Times New Roman"/>
          <w:sz w:val="19"/>
          <w:szCs w:val="19"/>
          <w:color w:val="auto"/>
        </w:rPr>
        <w:t>Inventory is adjusted to the lower of cost or net realizable value each quarter. Changes in the value of inventory are recorded within Cost of sales in the Consolidated Statements of Operations and Comprehensive (Loss) Income.</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F-12</w:t>
      </w:r>
    </w:p>
    <w:p>
      <w:pPr>
        <w:sectPr>
          <w:pgSz w:w="12240" w:h="15840" w:orient="portrait"/>
          <w:cols w:equalWidth="0" w:num="1">
            <w:col w:w="9890"/>
          </w:cols>
          <w:pgMar w:left="1170" w:top="218" w:right="1180" w:bottom="0" w:gutter="0" w:footer="0" w:header="0"/>
          <w:type w:val="continuous"/>
        </w:sectPr>
      </w:pPr>
    </w:p>
    <w:bookmarkStart w:id="114" w:name="page115"/>
    <w:bookmarkEnd w:id="114"/>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60"/>
        <w:spacing w:after="0" w:line="260" w:lineRule="auto"/>
        <w:rPr>
          <w:sz w:val="20"/>
          <w:szCs w:val="20"/>
          <w:color w:val="auto"/>
        </w:rPr>
      </w:pPr>
      <w:r>
        <w:rPr>
          <w:rFonts w:ascii="Times New Roman" w:cs="Times New Roman" w:eastAsia="Times New Roman" w:hAnsi="Times New Roman"/>
          <w:sz w:val="20"/>
          <w:szCs w:val="20"/>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Income in instances where gas cannot be contained and recycled back into the production process.</w:t>
      </w:r>
    </w:p>
    <w:p>
      <w:pPr>
        <w:spacing w:after="0" w:line="203" w:lineRule="exact"/>
        <w:rPr>
          <w:sz w:val="20"/>
          <w:szCs w:val="20"/>
          <w:color w:val="auto"/>
        </w:rPr>
      </w:pPr>
    </w:p>
    <w:p>
      <w:pPr>
        <w:ind w:left="730" w:hanging="730"/>
        <w:spacing w:after="0"/>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in progress</w:t>
      </w:r>
    </w:p>
    <w:p>
      <w:pPr>
        <w:spacing w:after="0" w:line="250" w:lineRule="exact"/>
        <w:rPr>
          <w:sz w:val="20"/>
          <w:szCs w:val="20"/>
          <w:color w:val="auto"/>
        </w:rPr>
      </w:pPr>
    </w:p>
    <w:p>
      <w:pPr>
        <w:ind w:left="10" w:right="40"/>
        <w:spacing w:after="0" w:line="268" w:lineRule="auto"/>
        <w:rPr>
          <w:sz w:val="20"/>
          <w:szCs w:val="20"/>
          <w:color w:val="auto"/>
        </w:rPr>
      </w:pPr>
      <w:r>
        <w:rPr>
          <w:rFonts w:ascii="Times New Roman" w:cs="Times New Roman" w:eastAsia="Times New Roman" w:hAnsi="Times New Roman"/>
          <w:sz w:val="19"/>
          <w:szCs w:val="19"/>
          <w:color w:val="auto"/>
        </w:rPr>
        <w:t>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certain direct payroll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Prior to putting projects into service the Company may utilize gas to test and commission the assets, and the Company may be able to invoice our customers for gas used in commissioning. Amounts received as a result of the sale of test gas reduce the Construction in progress balance. Depreciation is not recognized during the construction period and commences when the assets are ready for their intended use, which may require management to make subjective judgments and assumptions about the conditions necessary for the assets to be capable of operating in the intended manner.</w:t>
      </w:r>
    </w:p>
    <w:p>
      <w:pPr>
        <w:spacing w:after="0" w:line="200" w:lineRule="exact"/>
        <w:rPr>
          <w:sz w:val="20"/>
          <w:szCs w:val="20"/>
          <w:color w:val="auto"/>
        </w:rPr>
      </w:pPr>
    </w:p>
    <w:p>
      <w:pPr>
        <w:ind w:left="10" w:right="100"/>
        <w:spacing w:after="0" w:line="281" w:lineRule="auto"/>
        <w:rPr>
          <w:sz w:val="20"/>
          <w:szCs w:val="20"/>
          <w:color w:val="auto"/>
        </w:rPr>
      </w:pPr>
      <w:r>
        <w:rPr>
          <w:rFonts w:ascii="Times New Roman" w:cs="Times New Roman" w:eastAsia="Times New Roman" w:hAnsi="Times New Roman"/>
          <w:sz w:val="20"/>
          <w:szCs w:val="20"/>
          <w:color w:val="auto"/>
        </w:rPr>
        <w:t>The interest cost associated with major development and construction projects is capitalized during the construction period and included in the cost of the project in Construction in progress.</w:t>
      </w:r>
    </w:p>
    <w:p>
      <w:pPr>
        <w:spacing w:after="0" w:line="181" w:lineRule="exact"/>
        <w:rPr>
          <w:sz w:val="20"/>
          <w:szCs w:val="20"/>
          <w:color w:val="auto"/>
        </w:rPr>
      </w:pPr>
    </w:p>
    <w:p>
      <w:pPr>
        <w:ind w:left="730" w:hanging="730"/>
        <w:spacing w:after="0"/>
        <w:tabs>
          <w:tab w:leader="none" w:pos="73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plant and equipment, net</w:t>
      </w:r>
    </w:p>
    <w:p>
      <w:pPr>
        <w:spacing w:after="0" w:line="250" w:lineRule="exact"/>
        <w:rPr>
          <w:sz w:val="20"/>
          <w:szCs w:val="20"/>
          <w:color w:val="auto"/>
        </w:rPr>
      </w:pPr>
    </w:p>
    <w:p>
      <w:pPr>
        <w:ind w:left="10" w:right="140"/>
        <w:spacing w:after="0" w:line="255" w:lineRule="auto"/>
        <w:rPr>
          <w:sz w:val="20"/>
          <w:szCs w:val="20"/>
          <w:color w:val="auto"/>
        </w:rPr>
      </w:pPr>
      <w:r>
        <w:rPr>
          <w:rFonts w:ascii="Times New Roman" w:cs="Times New Roman" w:eastAsia="Times New Roman" w:hAnsi="Times New Roman"/>
          <w:sz w:val="20"/>
          <w:szCs w:val="20"/>
          <w:color w:val="auto"/>
        </w:rPr>
        <w:t>Property, plant and equipment is initially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Consolidated Statements of Operations and Comprehensive (Loss) Income; such expenditures for assets in the Ships segment that do not improve the operating efficiency or extend the useful lives of the vessels are expensed as incurred within Vessel operating expenses.</w:t>
      </w:r>
    </w:p>
    <w:p>
      <w:pPr>
        <w:spacing w:after="0" w:line="210" w:lineRule="exact"/>
        <w:rPr>
          <w:sz w:val="20"/>
          <w:szCs w:val="20"/>
          <w:color w:val="auto"/>
        </w:rPr>
      </w:pPr>
    </w:p>
    <w:p>
      <w:pPr>
        <w:ind w:left="10" w:right="360"/>
        <w:spacing w:after="0" w:line="281" w:lineRule="auto"/>
        <w:rPr>
          <w:sz w:val="20"/>
          <w:szCs w:val="20"/>
          <w:color w:val="auto"/>
        </w:rPr>
      </w:pPr>
      <w:r>
        <w:rPr>
          <w:rFonts w:ascii="Times New Roman" w:cs="Times New Roman" w:eastAsia="Times New Roman" w:hAnsi="Times New Roman"/>
          <w:sz w:val="20"/>
          <w:szCs w:val="20"/>
          <w:color w:val="auto"/>
        </w:rPr>
        <w:t>Major maintenance and overhauls of the Company’s power plant and terminals are capitalized and depreciated over the expected period until the next anticipated major maintenance or overhaul.</w:t>
      </w:r>
    </w:p>
    <w:p>
      <w:pPr>
        <w:spacing w:after="0" w:line="181"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Drydocking expenditures, including drydocking expenditures related to vessels that were included in the Energos Formation Transaction (defined below), are capitalized when incurred and amortized over the period until the next anticipated drydocking, which is generally five years. For vessels, the Company utilizes the “built-in overhaul” method of accounting and segregates vessel costs into those that should be depreciated over the useful life of the vessel and those that require drydocking at periodic intervals. If drydocking occurs prior to the expected timing, a cumulative adjustment to recognize the change in expected timing of drydocking is recognized within Depreciation and amortization in the Consolidated Statements of Operations and Comprehensive (Loss) Income.</w:t>
      </w:r>
    </w:p>
    <w:p>
      <w:pPr>
        <w:spacing w:after="0" w:line="210" w:lineRule="exact"/>
        <w:rPr>
          <w:sz w:val="20"/>
          <w:szCs w:val="20"/>
          <w:color w:val="auto"/>
        </w:rPr>
      </w:pPr>
    </w:p>
    <w:p>
      <w:pPr>
        <w:ind w:left="10" w:right="20"/>
        <w:spacing w:after="0" w:line="309" w:lineRule="auto"/>
        <w:rPr>
          <w:sz w:val="20"/>
          <w:szCs w:val="20"/>
          <w:color w:val="auto"/>
        </w:rPr>
      </w:pPr>
      <w:r>
        <w:rPr>
          <w:rFonts w:ascii="Times New Roman" w:cs="Times New Roman" w:eastAsia="Times New Roman" w:hAnsi="Times New Roman"/>
          <w:sz w:val="19"/>
          <w:szCs w:val="19"/>
          <w:color w:val="auto"/>
        </w:rPr>
        <w:t>The Company depreciates property, plant and equipment less the estimate residual value using the straight-line depreciation method over the estimated economic life of the asset or lease term, whichever is shorter using the following useful lives:</w:t>
      </w:r>
    </w:p>
    <w:p>
      <w:pPr>
        <w:spacing w:after="0" w:line="211"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Useful life</w:t>
            </w:r>
          </w:p>
        </w:tc>
      </w:tr>
      <w:tr>
        <w:trPr>
          <w:trHeight w:val="263"/>
        </w:trPr>
        <w:tc>
          <w:tcPr>
            <w:tcW w:w="854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(Yrs)</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Vessels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5-30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Terminal and power plant equipment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Power facilities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ISO containers and other equipment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3-25</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LNG liquefaction facilities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20-40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Gas pipelines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-1337310</wp:posOffset>
            </wp:positionV>
            <wp:extent cx="6311900" cy="1358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6">
                      <a:extLst>
                        <a:ext uri="{28A0092B-C50C-407E-A947-70E740481C1C}"/>
                      </a:extLst>
                    </a:blip>
                    <a:srcRect/>
                    <a:stretch>
                      <a:fillRect/>
                    </a:stretch>
                  </pic:blipFill>
                  <pic:spPr bwMode="auto">
                    <a:xfrm>
                      <a:off x="0" y="0"/>
                      <a:ext cx="6311900" cy="1358900"/>
                    </a:xfrm>
                    <a:prstGeom prst="rect">
                      <a:avLst/>
                    </a:prstGeom>
                    <a:noFill/>
                  </pic:spPr>
                </pic:pic>
              </a:graphicData>
            </a:graphic>
          </wp:anchor>
        </w:drawing>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F-13</w:t>
      </w:r>
    </w:p>
    <w:p>
      <w:pPr>
        <w:sectPr>
          <w:pgSz w:w="12240" w:h="15840" w:orient="portrait"/>
          <w:cols w:equalWidth="0" w:num="1">
            <w:col w:w="9910"/>
          </w:cols>
          <w:pgMar w:left="1170" w:top="218" w:right="1160" w:bottom="0" w:gutter="0" w:footer="0" w:header="0"/>
          <w:type w:val="continuous"/>
        </w:sectPr>
      </w:pPr>
    </w:p>
    <w:bookmarkStart w:id="115" w:name="page116"/>
    <w:bookmarkEnd w:id="11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300"/>
        <w:spacing w:after="0" w:line="281" w:lineRule="auto"/>
        <w:rPr>
          <w:sz w:val="20"/>
          <w:szCs w:val="20"/>
          <w:color w:val="auto"/>
        </w:rPr>
      </w:pPr>
      <w:r>
        <w:rPr>
          <w:rFonts w:ascii="Times New Roman" w:cs="Times New Roman" w:eastAsia="Times New Roman" w:hAnsi="Times New Roman"/>
          <w:sz w:val="20"/>
          <w:szCs w:val="20"/>
          <w:color w:val="auto"/>
        </w:rPr>
        <w:t>The Company reviews the remaining useful life of its assets on a regular basis to determine whether changes have taken place that would suggest that a change to depreciation policies is warranted.</w:t>
      </w:r>
    </w:p>
    <w:p>
      <w:pPr>
        <w:spacing w:after="0" w:line="181" w:lineRule="exact"/>
        <w:rPr>
          <w:sz w:val="20"/>
          <w:szCs w:val="20"/>
          <w:color w:val="auto"/>
        </w:rPr>
      </w:pPr>
    </w:p>
    <w:p>
      <w:pPr>
        <w:ind w:left="10" w:right="200"/>
        <w:spacing w:after="0" w:line="260" w:lineRule="auto"/>
        <w:rPr>
          <w:sz w:val="20"/>
          <w:szCs w:val="20"/>
          <w:color w:val="auto"/>
        </w:rPr>
      </w:pPr>
      <w:r>
        <w:rPr>
          <w:rFonts w:ascii="Times New Roman" w:cs="Times New Roman" w:eastAsia="Times New Roman" w:hAnsi="Times New Roman"/>
          <w:sz w:val="20"/>
          <w:szCs w:val="20"/>
          <w:color w:val="auto"/>
        </w:rPr>
        <w:t>Upon retirement or disposal of property, plant and equipment, the cost and related accumulated depreciation are removed from the account, and the resulting gains or losses, if any, are recorded in Loss (gain) on sale of assets, net in the Consolidated Statements of Operations and Comprehensive (Loss) Income. When a vessel is disposed, any unamortized drydocking expenditure is recognized as part of the gain or loss on disposal in the period of disposal.</w:t>
      </w:r>
    </w:p>
    <w:p>
      <w:pPr>
        <w:spacing w:after="0" w:line="203" w:lineRule="exact"/>
        <w:rPr>
          <w:sz w:val="20"/>
          <w:szCs w:val="20"/>
          <w:color w:val="auto"/>
        </w:rPr>
      </w:pPr>
    </w:p>
    <w:p>
      <w:pPr>
        <w:ind w:left="730" w:hanging="730"/>
        <w:spacing w:after="0"/>
        <w:tabs>
          <w:tab w:leader="none" w:pos="73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long-lived assets</w:t>
      </w:r>
    </w:p>
    <w:p>
      <w:pPr>
        <w:spacing w:after="0" w:line="250"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 performs a recoverability assessment of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spacing w:after="0" w:line="204"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195"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95" w:lineRule="exact"/>
        <w:rPr>
          <w:sz w:val="20"/>
          <w:szCs w:val="20"/>
          <w:color w:val="auto"/>
        </w:rPr>
      </w:pPr>
    </w:p>
    <w:p>
      <w:pPr>
        <w:ind w:left="730" w:hanging="730"/>
        <w:spacing w:after="0"/>
        <w:tabs>
          <w:tab w:leader="none" w:pos="73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equity securities</w:t>
      </w:r>
    </w:p>
    <w:p>
      <w:pPr>
        <w:spacing w:after="0" w:line="250"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Investments in equity securities are carried at fair value and included in Other non-current assets on the Consolidated Balance Sheets, with gains or losses recorded in earnings in Other expense (income), net in the Consolidated Statements of Operations and Comprehensive (Loss) Income.</w:t>
      </w:r>
    </w:p>
    <w:p>
      <w:pPr>
        <w:spacing w:after="0" w:line="195" w:lineRule="exact"/>
        <w:rPr>
          <w:sz w:val="20"/>
          <w:szCs w:val="20"/>
          <w:color w:val="auto"/>
        </w:rPr>
      </w:pPr>
    </w:p>
    <w:p>
      <w:pPr>
        <w:ind w:left="730" w:hanging="730"/>
        <w:spacing w:after="0"/>
        <w:tabs>
          <w:tab w:leader="none" w:pos="73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Cloud computing costs</w:t>
      </w:r>
    </w:p>
    <w:p>
      <w:pPr>
        <w:spacing w:after="0" w:line="25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The Company capitalizes the costs incurred during the implementation stage for cloud computing or hosting arrangements. Costs incurred in the preliminary project stage and post-implementation stage, which includes maintenance and training costs, are expensed as incurred. Such costs are recorded in Transaction and integration costs in the Consolidated Statements of Operations and Comprehensive (Loss) Income. Capitalized software costs are amortized over the straight-line method over three to five years and are recorded in Other assets on the Consolidated Balance Sheets. Amortization expense is recorded in Selling, general and administrative in the Consolidated Statements of Operations and Comprehensive (Loss) Income.</w:t>
      </w:r>
    </w:p>
    <w:p>
      <w:pPr>
        <w:spacing w:after="0" w:line="210" w:lineRule="exact"/>
        <w:rPr>
          <w:sz w:val="20"/>
          <w:szCs w:val="20"/>
          <w:color w:val="auto"/>
        </w:rPr>
      </w:pPr>
    </w:p>
    <w:p>
      <w:pPr>
        <w:ind w:left="730" w:hanging="730"/>
        <w:spacing w:after="0"/>
        <w:tabs>
          <w:tab w:leader="none" w:pos="7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Intangible assets</w:t>
      </w:r>
    </w:p>
    <w:p>
      <w:pPr>
        <w:spacing w:after="0" w:line="250"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Upon a business combination or asset acquisition, the Company may obtain identifiable intangible assets. Intangible assets with a finite life are amortized over the estimated useful life of the asset under the straight-line method.</w:t>
      </w:r>
    </w:p>
    <w:p>
      <w:pPr>
        <w:spacing w:after="0" w:line="181" w:lineRule="exact"/>
        <w:rPr>
          <w:sz w:val="20"/>
          <w:szCs w:val="20"/>
          <w:color w:val="auto"/>
        </w:rPr>
      </w:pPr>
    </w:p>
    <w:p>
      <w:pPr>
        <w:ind w:left="10" w:right="40"/>
        <w:spacing w:after="0" w:line="242" w:lineRule="auto"/>
        <w:rPr>
          <w:sz w:val="20"/>
          <w:szCs w:val="20"/>
          <w:color w:val="auto"/>
        </w:rPr>
      </w:pPr>
      <w:r>
        <w:rPr>
          <w:rFonts w:ascii="Times New Roman" w:cs="Times New Roman" w:eastAsia="Times New Roman" w:hAnsi="Times New Roman"/>
          <w:sz w:val="20"/>
          <w:szCs w:val="20"/>
          <w:color w:val="auto"/>
        </w:rPr>
        <w:t>Indefinite lived intangible assets are not amortized. Intangible assets with an indefinite useful life are tested for impairment on an annual basis, on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(Loss) Income.</w:t>
      </w:r>
    </w:p>
    <w:p>
      <w:pPr>
        <w:spacing w:after="0" w:line="219" w:lineRule="exact"/>
        <w:rPr>
          <w:sz w:val="20"/>
          <w:szCs w:val="20"/>
          <w:color w:val="auto"/>
        </w:rPr>
      </w:pPr>
    </w:p>
    <w:p>
      <w:pPr>
        <w:ind w:left="730" w:hanging="730"/>
        <w:spacing w:after="0"/>
        <w:tabs>
          <w:tab w:leader="none" w:pos="73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w:t>
      </w:r>
    </w:p>
    <w:p>
      <w:pPr>
        <w:spacing w:after="0" w:line="250" w:lineRule="exact"/>
        <w:rPr>
          <w:sz w:val="20"/>
          <w:szCs w:val="20"/>
          <w:color w:val="auto"/>
        </w:rPr>
      </w:pPr>
    </w:p>
    <w:p>
      <w:pPr>
        <w:ind w:left="10" w:right="40"/>
        <w:spacing w:after="0" w:line="281" w:lineRule="auto"/>
        <w:rPr>
          <w:sz w:val="20"/>
          <w:szCs w:val="20"/>
          <w:color w:val="auto"/>
        </w:rPr>
      </w:pPr>
      <w:r>
        <w:rPr>
          <w:rFonts w:ascii="Times New Roman" w:cs="Times New Roman" w:eastAsia="Times New Roman" w:hAnsi="Times New Roman"/>
          <w:sz w:val="20"/>
          <w:szCs w:val="20"/>
          <w:color w:val="auto"/>
        </w:rPr>
        <w:t>Goodwill includes the excess of the purchase price over the fair value of the net tangible and intangible assets acquired in a business combination.</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F-14</w:t>
      </w:r>
    </w:p>
    <w:p>
      <w:pPr>
        <w:sectPr>
          <w:pgSz w:w="12240" w:h="15840" w:orient="portrait"/>
          <w:cols w:equalWidth="0" w:num="1">
            <w:col w:w="9890"/>
          </w:cols>
          <w:pgMar w:left="1170" w:top="218" w:right="1180" w:bottom="0" w:gutter="0" w:footer="0" w:header="0"/>
          <w:type w:val="continuous"/>
        </w:sectPr>
      </w:pPr>
    </w:p>
    <w:bookmarkStart w:id="116" w:name="page117"/>
    <w:bookmarkEnd w:id="116"/>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80"/>
        <w:spacing w:after="0" w:line="237" w:lineRule="auto"/>
        <w:rPr>
          <w:sz w:val="20"/>
          <w:szCs w:val="20"/>
          <w:color w:val="auto"/>
        </w:rPr>
      </w:pPr>
      <w:r>
        <w:rPr>
          <w:rFonts w:ascii="Times New Roman" w:cs="Times New Roman" w:eastAsia="Times New Roman" w:hAnsi="Times New Roman"/>
          <w:sz w:val="20"/>
          <w:szCs w:val="20"/>
          <w:color w:val="auto"/>
        </w:rPr>
        <w:t>The Company reviews the carrying values of goodwill at least annually to assess impairment since these assets are not amortized. An annual impairment assessment is conducted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Additionally, the Company reviews the carrying value of goodwill whenever events or changes in circumstances indicate that its carrying amount may not be recoverable.</w:t>
      </w:r>
    </w:p>
    <w:p>
      <w:pPr>
        <w:spacing w:after="0" w:line="223"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to measure an impairment loss.</w:t>
      </w:r>
    </w:p>
    <w:p>
      <w:pPr>
        <w:spacing w:after="0" w:line="195" w:lineRule="exact"/>
        <w:rPr>
          <w:sz w:val="20"/>
          <w:szCs w:val="20"/>
          <w:color w:val="auto"/>
        </w:rPr>
      </w:pPr>
    </w:p>
    <w:p>
      <w:pPr>
        <w:ind w:left="10" w:right="120"/>
        <w:spacing w:after="0" w:line="256" w:lineRule="auto"/>
        <w:rPr>
          <w:sz w:val="20"/>
          <w:szCs w:val="20"/>
          <w:color w:val="auto"/>
        </w:rPr>
      </w:pPr>
      <w:r>
        <w:rPr>
          <w:rFonts w:ascii="Times New Roman" w:cs="Times New Roman" w:eastAsia="Times New Roman" w:hAnsi="Times New Roman"/>
          <w:sz w:val="20"/>
          <w:szCs w:val="20"/>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assumptions about operating results, business plans, income projections, anticipated future cash flows and market data. If goodwill is determined to be impaired, an impairment loss, measured at the amount by which the reporting unit’s carrying amount exceeds its fair value, not to exceed the carrying amount of goodwill, is recorded.</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There was no impairment of goodwill for the years ended December 31, 2024 and 2023.</w:t>
      </w:r>
    </w:p>
    <w:p>
      <w:pPr>
        <w:spacing w:after="0" w:line="250" w:lineRule="exact"/>
        <w:rPr>
          <w:sz w:val="20"/>
          <w:szCs w:val="20"/>
          <w:color w:val="auto"/>
        </w:rPr>
      </w:pPr>
    </w:p>
    <w:p>
      <w:pPr>
        <w:ind w:left="730" w:hanging="730"/>
        <w:spacing w:after="0"/>
        <w:tabs>
          <w:tab w:leader="none" w:pos="7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debt and debt issuance costs</w:t>
      </w:r>
    </w:p>
    <w:p>
      <w:pPr>
        <w:spacing w:after="0" w:line="250" w:lineRule="exact"/>
        <w:rPr>
          <w:sz w:val="20"/>
          <w:szCs w:val="20"/>
          <w:color w:val="auto"/>
        </w:rPr>
      </w:pPr>
    </w:p>
    <w:p>
      <w:pPr>
        <w:jc w:val="both"/>
        <w:ind w:left="10" w:right="40"/>
        <w:spacing w:after="0" w:line="266" w:lineRule="auto"/>
        <w:rPr>
          <w:sz w:val="20"/>
          <w:szCs w:val="20"/>
          <w:color w:val="auto"/>
        </w:rPr>
      </w:pPr>
      <w:r>
        <w:rPr>
          <w:rFonts w:ascii="Times New Roman" w:cs="Times New Roman" w:eastAsia="Times New Roman" w:hAnsi="Times New Roman"/>
          <w:sz w:val="20"/>
          <w:szCs w:val="20"/>
          <w:color w:val="auto"/>
        </w:rPr>
        <w:t>We evaluate the terms of our debt arrangements to determine whether they contain an embedded derivative that is required to be bifurcated. Any embedded derivatives that are required to be bifurcated are recorded at fair value on the Consolidated Balance Sheets.</w:t>
      </w:r>
    </w:p>
    <w:p>
      <w:pPr>
        <w:spacing w:after="0" w:line="195"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Costs directly related to the issuance of debt are reported on the Consolidated Balance Sheets as a reduction from the carrying amount of the recognized debt liability and amortized over the term of the debt using the effective interest method. Unamortized debt issuance costs associated with the revolving credit agreement, facilities for the issuance of letters of credit and other similar arrangements are presented as an asset within Other non-current assets on the Consolidated Balance Sheets (regardless of whether there are any amounts outstanding under the credit facility) and amortized over the life of the particular arrangement. Interest and related amortization of debt issuance costs recognized during major development and construction projects are capitalized and included in the cost of the project.</w:t>
      </w:r>
    </w:p>
    <w:p>
      <w:pPr>
        <w:spacing w:after="0" w:line="210"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The Company evaluates changes to debt arrangements to determine whether the changes represent a modification or extinguishment to the old debt arrangement. If a debt instrument is deemed to be modified, all new lender fees are capitalized, and third-party fees associated with the previous lenders are recognized as expense within Transaction and integration costs in the Consolidated Statements of Operations and Comprehensive (Loss) Income. If an extinguishment of debt instruments has occurred, the unamortized financing fees associated with the extinguished instrument and lender fees are expensed to Loss on extinguishment of debt, net in the Consolidated Statements of Operations and Comprehensive (Loss) Income. In the event an amendment to the Revolving Facility (defined below) reduces the committed capacity of any lenders, the portion of any unamortized fees associated with such lender is expensed on a pro-rata basis in proportion to the decrease in the committed capacity.</w:t>
      </w:r>
    </w:p>
    <w:p>
      <w:pPr>
        <w:spacing w:after="0" w:line="209" w:lineRule="exact"/>
        <w:rPr>
          <w:sz w:val="20"/>
          <w:szCs w:val="20"/>
          <w:color w:val="auto"/>
        </w:rPr>
      </w:pPr>
    </w:p>
    <w:p>
      <w:pPr>
        <w:ind w:left="730" w:hanging="730"/>
        <w:spacing w:after="0"/>
        <w:tabs>
          <w:tab w:leader="none" w:pos="73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Contingencies</w:t>
      </w:r>
    </w:p>
    <w:p>
      <w:pPr>
        <w:spacing w:after="0" w:line="250"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may be involved in legal actions in the ordinary course of business, including governmental and administrative investigations, inquiries and proceedings concerning employment, labor, environmental and other claims. The Company recognizes a loss contingency in the consolidated financial statements when it is probable a liability has been incurred and the amount of the loss can be reasonably estimated. The Company discloses any loss contingencies that do not meet both conditions if there is a reasonable possibility that a loss may have been incurred. Gain contingencies are not recorded until realized.</w:t>
      </w:r>
    </w:p>
    <w:p>
      <w:pPr>
        <w:spacing w:after="0" w:line="208" w:lineRule="exact"/>
        <w:rPr>
          <w:sz w:val="20"/>
          <w:szCs w:val="20"/>
          <w:color w:val="auto"/>
        </w:rPr>
      </w:pPr>
    </w:p>
    <w:p>
      <w:pPr>
        <w:ind w:left="730" w:hanging="730"/>
        <w:spacing w:after="0"/>
        <w:tabs>
          <w:tab w:leader="none" w:pos="73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recognition</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Terminals and Infrastructure</w:t>
      </w:r>
    </w:p>
    <w:p>
      <w:pPr>
        <w:spacing w:after="0" w:line="254" w:lineRule="exact"/>
        <w:rPr>
          <w:sz w:val="20"/>
          <w:szCs w:val="20"/>
          <w:color w:val="auto"/>
        </w:rPr>
      </w:pPr>
    </w:p>
    <w:p>
      <w:pPr>
        <w:ind w:left="10"/>
        <w:spacing w:after="0" w:line="286" w:lineRule="auto"/>
        <w:rPr>
          <w:sz w:val="20"/>
          <w:szCs w:val="20"/>
          <w:color w:val="auto"/>
        </w:rPr>
      </w:pPr>
      <w:r>
        <w:rPr>
          <w:rFonts w:ascii="Times New Roman" w:cs="Times New Roman" w:eastAsia="Times New Roman" w:hAnsi="Times New Roman"/>
          <w:sz w:val="19"/>
          <w:szCs w:val="19"/>
          <w:color w:val="auto"/>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and the sale of LNG cargos. The transaction price for each of these contracts is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F-15</w:t>
      </w:r>
    </w:p>
    <w:p>
      <w:pPr>
        <w:sectPr>
          <w:pgSz w:w="12240" w:h="15840" w:orient="portrait"/>
          <w:cols w:equalWidth="0" w:num="1">
            <w:col w:w="9890"/>
          </w:cols>
          <w:pgMar w:left="1170" w:top="218" w:right="118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of the LNG transfers to the customer, depending on the terms of the contract. Because the nature, timing and uncertainty of revenue and cash flows are substantially the same for LNG, natural gas, power and steam, the Company has presented Operating revenue on an aggregated basis.</w:t>
      </w:r>
    </w:p>
    <w:p>
      <w:pPr>
        <w:spacing w:after="0" w:line="20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The Company has concluded that the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Company’s contracts with industrial end-user customers to supply natural gas or LNG may contain a lease of equipment or vessels, which may be accounted for as a finance or operating lease. For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Consolidated Statements of Operations and Comprehensive (Loss) Income.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21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The current and non-current portion of finance leases are recorded within Prepaid expenses and other current assets and Other non-current assets, net on the Consolidated Balance Sheets, respectively. For finance leases accounted for as sales-type leases, the profit from the sale of equipment is recognized upon lease commencement in Other revenue in the Consolidated Statements of Operations and Comprehensive (Loss)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(Loss) Income. The principal component of the lease payment is reflected as a reduction to the net investment in the lease.</w:t>
      </w: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Other revenue includes revenue recognized by the Company's subsidiary, Genera PR LLC ("Genera"), under its contract for the operation and maintenance of Puerto Rico Electric Power Authority's ("PREPA") thermal generation assets. Under this agreement, Genera is reimbursed for pass-through expenses, including payroll expenses of Genera employees. Genera is the principal for operation and maintenance services, and the Company recognizes revenue for amounts to be reimbursed by PREPA in the period such expenses are incurred. Genera is also eligible for performance-based incentive fees, which are considered variable consideration. The Company estimates the amount of variable consideration as the most likely amount, which is included in the transaction price to the extent that it is probable that a significant reversal of cumulative revenue recognized will not occur.</w:t>
      </w:r>
    </w:p>
    <w:p>
      <w:pPr>
        <w:spacing w:after="0" w:line="213"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0"/>
          <w:szCs w:val="20"/>
          <w:color w:val="auto"/>
        </w:rPr>
        <w:t>In addition, the Company's agreements may include a significant financing component, and the Company recognizes revenue for the interest income component over the term of the financing as Other revenue.</w:t>
      </w:r>
    </w:p>
    <w:p>
      <w:pPr>
        <w:spacing w:after="0" w:line="18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The timing of revenue recognition, billings and cash collections results in receivables, contract assets and contract liabilities. Receivables represent unconditional rights to consideration. Contract assets include unbilled amounts resulting from contracts with variable considerations, in which the performance obligation is satisfied and revenue is recognized. Contract assets are recognized within Prepaid expenses and other current assets, net and Other non-current assets, net on the Consolidated Balance Sheets. Contract liabilities consist of deferred revenue and are recognized within Other current liabilities and Other long-term liabilities on the Consolidated Balance Sheets.</w:t>
      </w:r>
    </w:p>
    <w:p>
      <w:pPr>
        <w:spacing w:after="0" w:line="20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Shipping and handling costs are not considered to be separate performance obligations. All such shipping and handling activities are performed prior to the customer obtaining control of the LNG or natural gas.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ectPr>
          <w:pgSz w:w="12240" w:h="15840" w:orient="portrait"/>
          <w:cols w:equalWidth="0" w:num="1">
            <w:col w:w="9860"/>
          </w:cols>
          <w:pgMar w:left="1180" w:top="218" w:right="120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The Company collects sales taxes from its customers based on sales of taxable products and remits such collections to the appropriate taxing authority. The Company has elected to present sales tax collections in the Consolidated Statements of Operations and Comprehensive (Loss) Income on a net basis and, accordingly, such taxes are excluded from reported revenues.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Ships</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Charter contracts, that have a lease term greater than one year, for the use of the FSRUs and LNG carriers are leases as the contracts convey the right to obtain substantially all of the economic benefits from the use of the asset and allow the customer to direct the use of that asset.</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At inception, the Company makes an assessment on whether the charter contract is an operating lease or a finance lease.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For charter contracts that are determined to be finance leases accounted for as sales-type leases, the profit from the sale of the vessel is recognized upon lease commencement in Other revenue in the Consolidated Statements of Operations and Comprehensive (Loss)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(Loss) Income.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Consolidated Statements of Operations and Comprehensive (Loss) Income.</w:t>
      </w:r>
    </w:p>
    <w:p>
      <w:pPr>
        <w:spacing w:after="0" w:line="2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Revenue includes lease payments under charters accounted for as operating leases and fees for repositioning vessels. Revenue generated from charters contracts is recorded over the term of the charter on a straight-line basis as service is provided and is included in Vessel charter revenue in the Consolidated Statements of Operations and Comprehensive (Loss) Income. Lease payments include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spacing w:after="0" w:line="21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Repositioning fees are included in Vessel charter revenue and are recognized at the end of the charter when the fee becomes fixed. However, where there is a fixed amount specified in the charter, which is not dependent upon redelivery location, the fee is recognized evenly over the term of the charter.</w:t>
      </w:r>
    </w:p>
    <w:p>
      <w:pPr>
        <w:spacing w:after="0" w:line="19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(Loss) Income over the lease term.</w:t>
      </w:r>
    </w:p>
    <w:p>
      <w:pPr>
        <w:spacing w:after="0" w:line="20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 Company continues to be the accounting owner of vessels included in the Energos Formation Transaction (Note 13), and the Company accounts for third party charters of these vessels under the accounting policies for vessel leases described above. The third-party charters of these vessels are operating leases, and revenue is recognized from these charters within Vessel charter revenue in the Consolidated Statements of Operations and Comprehensive (Loss) Income.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ectPr>
          <w:pgSz w:w="12240" w:h="15840" w:orient="portrait"/>
          <w:cols w:equalWidth="0" w:num="1">
            <w:col w:w="9880"/>
          </w:cols>
          <w:pgMar w:left="1180" w:top="218" w:right="1180" w:bottom="0" w:gutter="0" w:footer="0" w:header="0"/>
          <w:type w:val="continuous"/>
        </w:sectPr>
      </w:pPr>
    </w:p>
    <w:bookmarkStart w:id="119" w:name="page120"/>
    <w:bookmarkEnd w:id="11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30" w:hanging="730"/>
        <w:spacing w:after="0"/>
        <w:tabs>
          <w:tab w:leader="none" w:pos="73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as lessee</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Company has entered into lease agreements primarily for the use of LNG vessels, marine port space, office space, land and equipment.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spacing w:after="0" w:line="204" w:lineRule="exact"/>
        <w:rPr>
          <w:sz w:val="20"/>
          <w:szCs w:val="20"/>
          <w:color w:val="auto"/>
        </w:rPr>
      </w:pPr>
    </w:p>
    <w:p>
      <w:pPr>
        <w:jc w:val="both"/>
        <w:ind w:left="10" w:right="80"/>
        <w:spacing w:after="0" w:line="266" w:lineRule="auto"/>
        <w:rPr>
          <w:sz w:val="20"/>
          <w:szCs w:val="20"/>
          <w:color w:val="auto"/>
        </w:rPr>
      </w:pPr>
      <w:r>
        <w:rPr>
          <w:rFonts w:ascii="Times New Roman" w:cs="Times New Roman" w:eastAsia="Times New Roman" w:hAnsi="Times New Roman"/>
          <w:sz w:val="20"/>
          <w:szCs w:val="20"/>
          <w:color w:val="auto"/>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spacing w:after="0" w:line="195"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as lessee, has also elected the practical expedient not to separate lease and non-lease components for marine port space, office space, land and equipment leases. The Company separates the lease and non-lease components for vessel leases. The allocation of lease payments between lease and non-lease components has been determined based on the relative fair value of each component. The fair value of the lease component is estimated based on the estimated standalone price to lease a bareboat vessel. The fair value of the non-lease component is estimated based on the estimated standalone price of operating the respective vessel, inclusive of the costs of the crew and other operating costs.</w:t>
      </w:r>
    </w:p>
    <w:p>
      <w:pPr>
        <w:spacing w:after="0" w:line="208" w:lineRule="exact"/>
        <w:rPr>
          <w:sz w:val="20"/>
          <w:szCs w:val="20"/>
          <w:color w:val="auto"/>
        </w:rPr>
      </w:pPr>
    </w:p>
    <w:p>
      <w:pPr>
        <w:ind w:left="10"/>
        <w:spacing w:after="0" w:line="309" w:lineRule="auto"/>
        <w:rPr>
          <w:sz w:val="20"/>
          <w:szCs w:val="20"/>
          <w:color w:val="auto"/>
        </w:rPr>
      </w:pPr>
      <w:r>
        <w:rPr>
          <w:rFonts w:ascii="Times New Roman" w:cs="Times New Roman" w:eastAsia="Times New Roman" w:hAnsi="Times New Roman"/>
          <w:sz w:val="19"/>
          <w:szCs w:val="19"/>
          <w:color w:val="auto"/>
        </w:rPr>
        <w:t xml:space="preserve">The Company has elected the land easement practical expedient, which allows the Company to continue to account for pre-existing land easements as intangible assets under the accounting policy that existed before adoption of ASC 842 </w:t>
      </w:r>
      <w:r>
        <w:rPr>
          <w:rFonts w:ascii="Times New Roman" w:cs="Times New Roman" w:eastAsia="Times New Roman" w:hAnsi="Times New Roman"/>
          <w:sz w:val="19"/>
          <w:szCs w:val="19"/>
          <w:b w:val="1"/>
          <w:bCs w:val="1"/>
          <w:i w:val="1"/>
          <w:iCs w:val="1"/>
          <w:color w:val="auto"/>
        </w:rPr>
        <w:t>Leases</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730" w:hanging="730"/>
        <w:spacing w:after="0"/>
        <w:tabs>
          <w:tab w:leader="none" w:pos="73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Share-based compensation</w:t>
      </w:r>
    </w:p>
    <w:p>
      <w:pPr>
        <w:spacing w:after="0" w:line="250" w:lineRule="exact"/>
        <w:rPr>
          <w:sz w:val="20"/>
          <w:szCs w:val="20"/>
          <w:color w:val="auto"/>
        </w:rPr>
      </w:pPr>
    </w:p>
    <w:p>
      <w:pPr>
        <w:ind w:left="10" w:right="180"/>
        <w:spacing w:after="0" w:line="269" w:lineRule="auto"/>
        <w:rPr>
          <w:sz w:val="20"/>
          <w:szCs w:val="20"/>
          <w:color w:val="auto"/>
        </w:rPr>
      </w:pPr>
      <w:r>
        <w:rPr>
          <w:rFonts w:ascii="Times New Roman" w:cs="Times New Roman" w:eastAsia="Times New Roman" w:hAnsi="Times New Roman"/>
          <w:sz w:val="19"/>
          <w:szCs w:val="19"/>
          <w:color w:val="auto"/>
        </w:rPr>
        <w:t xml:space="preserve">The Company adopted the New Fortress Energy Inc. 2019 Omnibus Incentive Plan (the “Incentive Plan”), effective as of February 4, 2019. Under the Incentive Plan, the Company may issue options, share appreciation rights, restricted shares, restricted share units (“RSUs”), performance share units (“PSUs”) or other share-based awards to selected officers, employees, non-employee directors and select non-employees of NFE or its affiliates. The Company accounts for share-based compensation in accordance with ASC 718, </w:t>
      </w:r>
      <w:r>
        <w:rPr>
          <w:rFonts w:ascii="Times New Roman" w:cs="Times New Roman" w:eastAsia="Times New Roman" w:hAnsi="Times New Roman"/>
          <w:sz w:val="19"/>
          <w:szCs w:val="19"/>
          <w:b w:val="1"/>
          <w:bCs w:val="1"/>
          <w:i w:val="1"/>
          <w:iCs w:val="1"/>
          <w:color w:val="auto"/>
        </w:rPr>
        <w:t>Compensation</w:t>
      </w:r>
      <w:r>
        <w:rPr>
          <w:rFonts w:ascii="Times New Roman" w:cs="Times New Roman" w:eastAsia="Times New Roman" w:hAnsi="Times New Roman"/>
          <w:sz w:val="19"/>
          <w:szCs w:val="19"/>
          <w:color w:val="auto"/>
        </w:rPr>
        <w:t xml:space="preserve"> and ASC 505, </w:t>
      </w:r>
      <w:r>
        <w:rPr>
          <w:rFonts w:ascii="Times New Roman" w:cs="Times New Roman" w:eastAsia="Times New Roman" w:hAnsi="Times New Roman"/>
          <w:sz w:val="19"/>
          <w:szCs w:val="19"/>
          <w:b w:val="1"/>
          <w:bCs w:val="1"/>
          <w:i w:val="1"/>
          <w:iCs w:val="1"/>
          <w:color w:val="auto"/>
        </w:rPr>
        <w:t>Equity</w:t>
      </w:r>
      <w:r>
        <w:rPr>
          <w:rFonts w:ascii="Times New Roman" w:cs="Times New Roman" w:eastAsia="Times New Roman" w:hAnsi="Times New Roman"/>
          <w:sz w:val="19"/>
          <w:szCs w:val="19"/>
          <w:color w:val="auto"/>
        </w:rPr>
        <w:t>, which require all share-based payments to employees and members of the board of directors to be recognized as expense in the consolidated financial statements based on their grant date fair values. The fair value is adjusted for material non-public information that the Company may be aware of as of the grant date. The Company has elected not to estimate forfeitures of its share-based compensation awards but recognizes the reversal in compensation expense in the period in which the forfeiture occurs.</w:t>
      </w:r>
    </w:p>
    <w:p>
      <w:pPr>
        <w:spacing w:after="0" w:line="196"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has granted PSUs to certain employees and non-employees. The PSUs contain a performance condition, and vesting is determined based on achievement of a performance metric in the year subsequent to the grant. Compensation expense is recognized on a straight-line basis over the service period based on the expected attainment of a performance metric. At each reporting period, the Company reassesses the probability of the achievement of the performance metric, and any increase or decrease in share-based compensation expense resulting from an adjustment in the number of shares expected to vest is treated as a cumulative catch-up in the period of adjustment.</w:t>
      </w:r>
    </w:p>
    <w:p>
      <w:pPr>
        <w:spacing w:after="0" w:line="208" w:lineRule="exact"/>
        <w:rPr>
          <w:sz w:val="20"/>
          <w:szCs w:val="20"/>
          <w:color w:val="auto"/>
        </w:rPr>
      </w:pPr>
    </w:p>
    <w:p>
      <w:pPr>
        <w:ind w:left="730" w:hanging="730"/>
        <w:spacing w:after="0"/>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Lessor expense recognition</w:t>
      </w:r>
    </w:p>
    <w:p>
      <w:pPr>
        <w:spacing w:after="0" w:line="250" w:lineRule="exact"/>
        <w:rPr>
          <w:sz w:val="20"/>
          <w:szCs w:val="20"/>
          <w:color w:val="auto"/>
        </w:rPr>
      </w:pPr>
    </w:p>
    <w:p>
      <w:pPr>
        <w:ind w:left="10" w:right="200"/>
        <w:spacing w:after="0" w:line="260" w:lineRule="auto"/>
        <w:rPr>
          <w:sz w:val="20"/>
          <w:szCs w:val="20"/>
          <w:color w:val="auto"/>
        </w:rPr>
      </w:pPr>
      <w:r>
        <w:rPr>
          <w:rFonts w:ascii="Times New Roman" w:cs="Times New Roman" w:eastAsia="Times New Roman" w:hAnsi="Times New Roman"/>
          <w:sz w:val="20"/>
          <w:szCs w:val="20"/>
          <w:color w:val="auto"/>
        </w:rPr>
        <w:t>Vessel operating expenses are recognized when incurred. Vessel operating expenses include crewing, repairs and maintenance, insurance, stores, lube oils, communication expenses and third-party management fees. Initial direct costs include costs directly related to the negotiation and consummation of the lease and are deferred and recognized in Vessel operating expenses over the lease term.</w:t>
      </w:r>
    </w:p>
    <w:p>
      <w:pPr>
        <w:spacing w:after="0" w:line="203"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Certain vessels included in the Energos Formation Transaction (defined below) are chartered to third parties under operating leases. As the accounting owner of these vessels, the Company recognizes the cost of operating these vessels in Vessel operating expenses.</w:t>
      </w:r>
    </w:p>
    <w:p>
      <w:pPr>
        <w:spacing w:after="0" w:line="195" w:lineRule="exact"/>
        <w:rPr>
          <w:sz w:val="20"/>
          <w:szCs w:val="20"/>
          <w:color w:val="auto"/>
        </w:rPr>
      </w:pPr>
    </w:p>
    <w:p>
      <w:pPr>
        <w:ind w:left="730" w:hanging="730"/>
        <w:spacing w:after="0"/>
        <w:tabs>
          <w:tab w:leader="none" w:pos="73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and integration costs</w:t>
      </w:r>
    </w:p>
    <w:p>
      <w:pPr>
        <w:spacing w:after="0" w:line="250" w:lineRule="exact"/>
        <w:rPr>
          <w:sz w:val="20"/>
          <w:szCs w:val="20"/>
          <w:color w:val="auto"/>
        </w:rPr>
      </w:pPr>
    </w:p>
    <w:p>
      <w:pPr>
        <w:ind w:left="10" w:right="100"/>
        <w:spacing w:after="0" w:line="278" w:lineRule="auto"/>
        <w:rPr>
          <w:sz w:val="20"/>
          <w:szCs w:val="20"/>
          <w:color w:val="auto"/>
        </w:rPr>
      </w:pPr>
      <w:r>
        <w:rPr>
          <w:rFonts w:ascii="Times New Roman" w:cs="Times New Roman" w:eastAsia="Times New Roman" w:hAnsi="Times New Roman"/>
          <w:sz w:val="19"/>
          <w:szCs w:val="19"/>
          <w:color w:val="auto"/>
        </w:rPr>
        <w:t>Transaction and integration costs is comprised of costs related to business combinations and dispositions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w:t>
      </w:r>
    </w:p>
    <w:p>
      <w:pPr>
        <w:sectPr>
          <w:pgSz w:w="12240" w:h="15840" w:orient="portrait"/>
          <w:cols w:equalWidth="0" w:num="1">
            <w:col w:w="9870"/>
          </w:cols>
          <w:pgMar w:left="1170" w:top="218" w:right="120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F-18</w:t>
      </w:r>
    </w:p>
    <w:p>
      <w:pPr>
        <w:sectPr>
          <w:pgSz w:w="12240" w:h="15840" w:orient="portrait"/>
          <w:cols w:equalWidth="0" w:num="1">
            <w:col w:w="9870"/>
          </w:cols>
          <w:pgMar w:left="1170" w:top="218" w:right="1200" w:bottom="0" w:gutter="0" w:footer="0" w:header="0"/>
          <w:type w:val="continuous"/>
        </w:sectPr>
      </w:pPr>
    </w:p>
    <w:bookmarkStart w:id="120" w:name="page121"/>
    <w:bookmarkEnd w:id="120"/>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380"/>
        <w:spacing w:after="0" w:line="281" w:lineRule="auto"/>
        <w:rPr>
          <w:sz w:val="20"/>
          <w:szCs w:val="20"/>
          <w:color w:val="auto"/>
        </w:rPr>
      </w:pPr>
      <w:r>
        <w:rPr>
          <w:rFonts w:ascii="Times New Roman" w:cs="Times New Roman" w:eastAsia="Times New Roman" w:hAnsi="Times New Roman"/>
          <w:sz w:val="20"/>
          <w:szCs w:val="20"/>
          <w:color w:val="auto"/>
        </w:rPr>
        <w:t>sheet including fees associated with debt modifications are recognized within this caption. The Company records cloud computing costs incurred in the preliminary project stage and post-implementation stage within this caption.</w:t>
      </w:r>
    </w:p>
    <w:p>
      <w:pPr>
        <w:spacing w:after="0" w:line="181" w:lineRule="exact"/>
        <w:rPr>
          <w:sz w:val="20"/>
          <w:szCs w:val="20"/>
          <w:color w:val="auto"/>
        </w:rPr>
      </w:pPr>
    </w:p>
    <w:p>
      <w:pPr>
        <w:ind w:left="730" w:hanging="730"/>
        <w:spacing w:after="0"/>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Taxation</w:t>
      </w:r>
    </w:p>
    <w:p>
      <w:pPr>
        <w:spacing w:after="0" w:line="246" w:lineRule="exact"/>
        <w:rPr>
          <w:sz w:val="20"/>
          <w:szCs w:val="20"/>
          <w:color w:val="auto"/>
        </w:rPr>
      </w:pPr>
    </w:p>
    <w:p>
      <w:pPr>
        <w:ind w:left="10" w:right="100"/>
        <w:spacing w:after="0" w:line="256"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740, </w:t>
      </w:r>
      <w:r>
        <w:rPr>
          <w:rFonts w:ascii="Times New Roman" w:cs="Times New Roman" w:eastAsia="Times New Roman" w:hAnsi="Times New Roman"/>
          <w:sz w:val="20"/>
          <w:szCs w:val="20"/>
          <w:b w:val="1"/>
          <w:bCs w:val="1"/>
          <w:i w:val="1"/>
          <w:iCs w:val="1"/>
          <w:color w:val="auto"/>
        </w:rPr>
        <w:t>Accounting for Income Taxes</w:t>
      </w:r>
      <w:r>
        <w:rPr>
          <w:rFonts w:ascii="Times New Roman" w:cs="Times New Roman" w:eastAsia="Times New Roman" w:hAnsi="Times New Roman"/>
          <w:sz w:val="20"/>
          <w:szCs w:val="20"/>
          <w:color w:val="auto"/>
        </w:rPr>
        <w:t xml:space="preserve"> (“ASC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207" w:lineRule="exact"/>
        <w:rPr>
          <w:sz w:val="20"/>
          <w:szCs w:val="20"/>
          <w:color w:val="auto"/>
        </w:rPr>
      </w:pPr>
    </w:p>
    <w:p>
      <w:pPr>
        <w:ind w:left="10" w:right="140"/>
        <w:spacing w:after="0" w:line="255" w:lineRule="auto"/>
        <w:rPr>
          <w:sz w:val="20"/>
          <w:szCs w:val="20"/>
          <w:color w:val="auto"/>
        </w:rPr>
      </w:pPr>
      <w:r>
        <w:rPr>
          <w:rFonts w:ascii="Times New Roman" w:cs="Times New Roman" w:eastAsia="Times New Roman" w:hAnsi="Times New Roman"/>
          <w:sz w:val="20"/>
          <w:szCs w:val="20"/>
          <w:color w:val="auto"/>
        </w:rPr>
        <w:t>The Company recognizes the effect of tax positions only if those positions are more likely than not of being sustained. Recognized tax positions are measured at the largest amount that is greater than 50 percent likely of being realized upon ultimate settlement with the relevant tax authority.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spacing w:after="0" w:line="210" w:lineRule="exact"/>
        <w:rPr>
          <w:sz w:val="20"/>
          <w:szCs w:val="20"/>
          <w:color w:val="auto"/>
        </w:rPr>
      </w:pPr>
    </w:p>
    <w:p>
      <w:pPr>
        <w:ind w:left="10" w:right="240"/>
        <w:spacing w:after="0" w:line="266" w:lineRule="auto"/>
        <w:rPr>
          <w:sz w:val="20"/>
          <w:szCs w:val="20"/>
          <w:color w:val="auto"/>
        </w:rPr>
      </w:pPr>
      <w:r>
        <w:rPr>
          <w:rFonts w:ascii="Times New Roman" w:cs="Times New Roman" w:eastAsia="Times New Roman" w:hAnsi="Times New Roman"/>
          <w:sz w:val="20"/>
          <w:szCs w:val="20"/>
          <w:color w:val="auto"/>
        </w:rPr>
        <w:t>The Company has elected to treat amounts incurred under the global intangible low-taxed income (“GILTI”) rules as an expense in the period in which the tax is accrued. Accordingly, no deferred tax assets or liabilities are recorded related to GILTI.</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taxes</w:t>
      </w:r>
    </w:p>
    <w:p>
      <w:pPr>
        <w:spacing w:after="0" w:line="25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taxes that are not income taxes are recorded within Selling, general and administrative in the Consolidated Statements of Operations and Comprehensive (Loss) Income.</w:t>
      </w:r>
    </w:p>
    <w:p>
      <w:pPr>
        <w:spacing w:after="0" w:line="203" w:lineRule="exact"/>
        <w:rPr>
          <w:sz w:val="20"/>
          <w:szCs w:val="20"/>
          <w:color w:val="auto"/>
        </w:rPr>
      </w:pPr>
    </w:p>
    <w:p>
      <w:pPr>
        <w:ind w:left="730" w:hanging="730"/>
        <w:spacing w:after="0"/>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per share</w:t>
      </w:r>
    </w:p>
    <w:p>
      <w:pPr>
        <w:spacing w:after="0" w:line="250" w:lineRule="exact"/>
        <w:rPr>
          <w:sz w:val="20"/>
          <w:szCs w:val="20"/>
          <w:color w:val="auto"/>
        </w:rPr>
      </w:pPr>
    </w:p>
    <w:p>
      <w:pPr>
        <w:ind w:left="10" w:right="360"/>
        <w:spacing w:after="0" w:line="260" w:lineRule="auto"/>
        <w:rPr>
          <w:sz w:val="20"/>
          <w:szCs w:val="20"/>
          <w:color w:val="auto"/>
        </w:rPr>
      </w:pPr>
      <w:r>
        <w:rPr>
          <w:rFonts w:ascii="Times New Roman" w:cs="Times New Roman" w:eastAsia="Times New Roman" w:hAnsi="Times New Roman"/>
          <w:sz w:val="20"/>
          <w:szCs w:val="20"/>
          <w:color w:val="auto"/>
        </w:rPr>
        <w:t>Basic net income per share (“EPS”) is computed by dividing net income attributable to Class A common stock by the weighted average number of shares of Class A common stock outstanding. The dilutive effect of outstanding awards, if any, is reflected in diluted earnings per share by application of the treasury stock method or if-converted method, as applicable.</w:t>
      </w:r>
    </w:p>
    <w:p>
      <w:pPr>
        <w:spacing w:after="0" w:line="203" w:lineRule="exact"/>
        <w:rPr>
          <w:sz w:val="20"/>
          <w:szCs w:val="20"/>
          <w:color w:val="auto"/>
        </w:rPr>
      </w:pPr>
    </w:p>
    <w:p>
      <w:pPr>
        <w:ind w:left="730" w:hanging="730"/>
        <w:spacing w:after="0"/>
        <w:tabs>
          <w:tab w:leader="none" w:pos="73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w:t>
      </w:r>
    </w:p>
    <w:p>
      <w:pPr>
        <w:spacing w:after="0" w:line="2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Acquisition-related costs are expensed as incurred as Transaction and integration costs in the Consolidated Statements of Operations and Comprehensive (Loss) Income. The results of operations of acquired businesses are included in the Company’s Consolidated Statements of Operations and Comprehensive (Loss) Income from the date of acquisition.</w:t>
      </w:r>
    </w:p>
    <w:p>
      <w:pPr>
        <w:spacing w:after="0" w:line="208"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spacing w:after="0" w:line="203" w:lineRule="exact"/>
        <w:rPr>
          <w:sz w:val="20"/>
          <w:szCs w:val="20"/>
          <w:color w:val="auto"/>
        </w:rPr>
      </w:pPr>
    </w:p>
    <w:p>
      <w:pPr>
        <w:ind w:left="730" w:hanging="730"/>
        <w:spacing w:after="0"/>
        <w:tabs>
          <w:tab w:leader="none" w:pos="73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method investments</w:t>
      </w:r>
    </w:p>
    <w:p>
      <w:pPr>
        <w:spacing w:after="0" w:line="250" w:lineRule="exact"/>
        <w:rPr>
          <w:sz w:val="20"/>
          <w:szCs w:val="20"/>
          <w:color w:val="auto"/>
        </w:rPr>
      </w:pPr>
    </w:p>
    <w:p>
      <w:pPr>
        <w:jc w:val="both"/>
        <w:ind w:left="10" w:right="200"/>
        <w:spacing w:after="0" w:line="286" w:lineRule="auto"/>
        <w:rPr>
          <w:sz w:val="20"/>
          <w:szCs w:val="20"/>
          <w:color w:val="auto"/>
        </w:rPr>
      </w:pPr>
      <w:r>
        <w:rPr>
          <w:rFonts w:ascii="Times New Roman" w:cs="Times New Roman" w:eastAsia="Times New Roman" w:hAnsi="Times New Roman"/>
          <w:sz w:val="19"/>
          <w:szCs w:val="19"/>
          <w:color w:val="auto"/>
        </w:rPr>
        <w:t>The Company accounts for investments in entities over which the Company has significant influence, but do not meet the criteria for consolidation, under the equity method of accounting. Under the equity method of accounting, the Company’s investment is recorded at cost. In the case of equity method investments acquired as part of a business combination or</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F-19</w:t>
      </w:r>
    </w:p>
    <w:p>
      <w:pPr>
        <w:sectPr>
          <w:pgSz w:w="12240" w:h="15840" w:orient="portrait"/>
          <w:cols w:equalWidth="0" w:num="1">
            <w:col w:w="9910"/>
          </w:cols>
          <w:pgMar w:left="1170" w:top="218" w:right="1160" w:bottom="0" w:gutter="0" w:footer="0" w:header="0"/>
          <w:type w:val="continuous"/>
        </w:sectPr>
      </w:pPr>
    </w:p>
    <w:bookmarkStart w:id="121" w:name="page122"/>
    <w:bookmarkEnd w:id="121"/>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acquired in exchange for the contribution of assets or entities to the investee, the investment is initially recorded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a business combination and the Company’s proportionate share of the carrying value of the underlying assets, or basis difference, across the assets and liabilities of the investee. The basis difference assigned to amortizable net assets is included in Income (loss) from equity method investments in the Consolidated Statements of Operations and Comprehensive (Loss) Income. When the Company’s share of losses in an investee equals or exceeds the carrying value of the investment, no further losses are recognized unless the Company has incurred obligations or made payments on behalf of the investee.</w:t>
      </w:r>
    </w:p>
    <w:p>
      <w:pPr>
        <w:spacing w:after="0" w:line="209" w:lineRule="exact"/>
        <w:rPr>
          <w:sz w:val="20"/>
          <w:szCs w:val="20"/>
          <w:color w:val="auto"/>
        </w:rPr>
      </w:pPr>
    </w:p>
    <w:p>
      <w:pPr>
        <w:ind w:left="10" w:right="260"/>
        <w:spacing w:after="0" w:line="260" w:lineRule="auto"/>
        <w:rPr>
          <w:sz w:val="20"/>
          <w:szCs w:val="20"/>
          <w:color w:val="auto"/>
        </w:rPr>
      </w:pPr>
      <w:r>
        <w:rPr>
          <w:rFonts w:ascii="Times New Roman" w:cs="Times New Roman" w:eastAsia="Times New Roman" w:hAnsi="Times New Roman"/>
          <w:sz w:val="20"/>
          <w:szCs w:val="20"/>
          <w:color w:val="auto"/>
        </w:rPr>
        <w:t>The Company periodically assesses if impairment indicators exist at equity method investments. When an impairment is observed, any excess of the carrying amount over its estimated fair value is recognized as impairment expense when the loss in value is deemed other-than-temporary and included in Income (loss) from equity method investments in the Consolidated Statements of Operations and Comprehensive (Loss) Income.</w:t>
      </w:r>
    </w:p>
    <w:p>
      <w:pPr>
        <w:spacing w:after="0" w:line="203" w:lineRule="exact"/>
        <w:rPr>
          <w:sz w:val="20"/>
          <w:szCs w:val="20"/>
          <w:color w:val="auto"/>
        </w:rPr>
      </w:pPr>
    </w:p>
    <w:p>
      <w:pPr>
        <w:ind w:left="10" w:right="40"/>
        <w:spacing w:after="0" w:line="266" w:lineRule="auto"/>
        <w:rPr>
          <w:sz w:val="20"/>
          <w:szCs w:val="20"/>
          <w:color w:val="auto"/>
        </w:rPr>
      </w:pPr>
      <w:r>
        <w:rPr>
          <w:rFonts w:ascii="Times New Roman" w:cs="Times New Roman" w:eastAsia="Times New Roman" w:hAnsi="Times New Roman"/>
          <w:sz w:val="20"/>
          <w:szCs w:val="20"/>
          <w:color w:val="auto"/>
        </w:rPr>
        <w:t>In relation to the Company's 20% equity interest in Energos, the Company elected to recognize its proportional share of the income or loss from the equity method investment on a financial reporting lag of one fiscal quarter. The Company did not elect to recognize the results of other equity method investments on a financial reporting lag.</w:t>
      </w:r>
    </w:p>
    <w:p>
      <w:pPr>
        <w:spacing w:after="0" w:line="195" w:lineRule="exact"/>
        <w:rPr>
          <w:sz w:val="20"/>
          <w:szCs w:val="20"/>
          <w:color w:val="auto"/>
        </w:rPr>
      </w:pPr>
    </w:p>
    <w:p>
      <w:pPr>
        <w:ind w:left="730" w:hanging="730"/>
        <w:spacing w:after="0"/>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control of subsidiary</w:t>
      </w:r>
    </w:p>
    <w:p>
      <w:pPr>
        <w:spacing w:after="0" w:line="250" w:lineRule="exact"/>
        <w:rPr>
          <w:sz w:val="20"/>
          <w:szCs w:val="20"/>
          <w:color w:val="auto"/>
        </w:rPr>
      </w:pPr>
    </w:p>
    <w:p>
      <w:pPr>
        <w:ind w:left="10" w:right="200"/>
        <w:spacing w:after="0" w:line="254" w:lineRule="auto"/>
        <w:rPr>
          <w:sz w:val="20"/>
          <w:szCs w:val="20"/>
          <w:color w:val="auto"/>
        </w:rPr>
      </w:pPr>
      <w:r>
        <w:rPr>
          <w:rFonts w:ascii="Times New Roman" w:cs="Times New Roman" w:eastAsia="Times New Roman" w:hAnsi="Times New Roman"/>
          <w:sz w:val="20"/>
          <w:szCs w:val="20"/>
          <w:color w:val="auto"/>
        </w:rPr>
        <w:t>When there is a loss of control over a subsidiary, the Company de-consolidates the entity as of the date the Company ceases to have a controlling financial interest. The Company accounts for the deconsolidation of a subsidiary by recognizing a gain or loss in the Consolidated Statements of Operations and Comprehensive (Loss) Income, measured by the difference between the aggregate of the fair value of the consideration received, fair value of any retained non-controlling interest in the former subsidiary and the carrying amount of any non-controlling interest in the former subsidiary with the carrying amount of the former subsidiary’s assets and liabilities. If a change of ownership interest causes a loss of control of a foreign entity, in addition to de-recognizing the assets and liabilities, the Company will also de-recognize any amounts previously recorded in other comprehensive income.</w:t>
      </w:r>
    </w:p>
    <w:p>
      <w:pPr>
        <w:spacing w:after="0" w:line="213" w:lineRule="exact"/>
        <w:rPr>
          <w:sz w:val="20"/>
          <w:szCs w:val="20"/>
          <w:color w:val="auto"/>
        </w:rPr>
      </w:pPr>
    </w:p>
    <w:p>
      <w:pPr>
        <w:ind w:left="730" w:hanging="730"/>
        <w:spacing w:after="0"/>
        <w:tabs>
          <w:tab w:leader="none" w:pos="73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Guarantees issued by the Company, excluding those that are guaranteeing the Company’s own performance, are recognized at fair value at the time that the guarantees are issued and recognized in Other non-current liabilities on the Consolidated Balance Sheets. Guarantee liabilities are amortized using a systematic and rational method as the risk to the Company is reduced. If it becomes probable that the Company will have to perform under a guarantee, the Company will recognize an additional liability if the amount of the loss can be reasonably estimated.</w:t>
      </w:r>
    </w:p>
    <w:p>
      <w:pPr>
        <w:spacing w:after="0" w:line="204"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Derivatives</w:t>
      </w:r>
    </w:p>
    <w:p>
      <w:pPr>
        <w:spacing w:after="0" w:line="250" w:lineRule="exact"/>
        <w:rPr>
          <w:sz w:val="20"/>
          <w:szCs w:val="20"/>
          <w:color w:val="auto"/>
        </w:rPr>
      </w:pPr>
    </w:p>
    <w:p>
      <w:pPr>
        <w:ind w:left="10" w:right="60"/>
        <w:spacing w:after="0" w:line="254" w:lineRule="auto"/>
        <w:rPr>
          <w:sz w:val="20"/>
          <w:szCs w:val="20"/>
          <w:color w:val="auto"/>
        </w:rPr>
      </w:pPr>
      <w:r>
        <w:rPr>
          <w:rFonts w:ascii="Times New Roman" w:cs="Times New Roman" w:eastAsia="Times New Roman" w:hAnsi="Times New Roman"/>
          <w:sz w:val="20"/>
          <w:szCs w:val="20"/>
          <w:color w:val="auto"/>
        </w:rPr>
        <w:t>The Company has entered into derivative positions that were used to reduce market risks associated with interest rates, foreign exchange rates and commodity prices. The Company also accounts for arrangements that require the Company to pay sellers contingent payments in asset acquisitions as derivatives. All derivative instruments are initially recorded at fair value as either assets or liabilities on the Consolidated Balance Sheets and subsequently remeasured to fair value, regardless of the purpose or intent for holding the derivative, unless they qualify for a Normal Purchases and Normal Sales (“NPNS”) exception. The Company has not designated any derivatives as cash flow or fair value hedges; however, certain instruments may be considered economic hedges. Cash inflows and outflows related to commodity derivatives, foreign currency and interest rate swap are classified in the Consolidated Statements of Cash Flows based on the risk that the instrument is intended to mitigate, which may be operating, investing or financing.</w:t>
      </w:r>
    </w:p>
    <w:p>
      <w:pPr>
        <w:spacing w:after="0" w:line="209" w:lineRule="exact"/>
        <w:rPr>
          <w:sz w:val="20"/>
          <w:szCs w:val="20"/>
          <w:color w:val="auto"/>
        </w:rPr>
      </w:pPr>
    </w:p>
    <w:p>
      <w:pPr>
        <w:ind w:left="10" w:right="100"/>
        <w:spacing w:after="0" w:line="275" w:lineRule="auto"/>
        <w:rPr>
          <w:sz w:val="20"/>
          <w:szCs w:val="20"/>
          <w:color w:val="auto"/>
        </w:rPr>
      </w:pPr>
      <w:r>
        <w:rPr>
          <w:rFonts w:ascii="Times New Roman" w:cs="Times New Roman" w:eastAsia="Times New Roman" w:hAnsi="Times New Roman"/>
          <w:sz w:val="19"/>
          <w:szCs w:val="19"/>
          <w:color w:val="auto"/>
        </w:rPr>
        <w:t xml:space="preserve">Revenues and expenses on contracts that qualify for the NPNS exception are recognized when the underlying physical transaction is delivered under other applicable GAAP (e.g., ASC 606 or ASC 705). While these contracts are considered derivative financial instruments under ASC 815, </w:t>
      </w:r>
      <w:r>
        <w:rPr>
          <w:rFonts w:ascii="Times New Roman" w:cs="Times New Roman" w:eastAsia="Times New Roman" w:hAnsi="Times New Roman"/>
          <w:sz w:val="19"/>
          <w:szCs w:val="19"/>
          <w:b w:val="1"/>
          <w:bCs w:val="1"/>
          <w:i w:val="1"/>
          <w:iCs w:val="1"/>
          <w:color w:val="auto"/>
        </w:rPr>
        <w:t>Derivatives and Hedging</w:t>
      </w:r>
      <w:r>
        <w:rPr>
          <w:rFonts w:ascii="Times New Roman" w:cs="Times New Roman" w:eastAsia="Times New Roman" w:hAnsi="Times New Roman"/>
          <w:sz w:val="19"/>
          <w:szCs w:val="19"/>
          <w:color w:val="auto"/>
        </w:rPr>
        <w:t>,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F-20</w:t>
      </w:r>
    </w:p>
    <w:p>
      <w:pPr>
        <w:sectPr>
          <w:pgSz w:w="12240" w:h="15840" w:orient="portrait"/>
          <w:cols w:equalWidth="0" w:num="1">
            <w:col w:w="9890"/>
          </w:cols>
          <w:pgMar w:left="1170" w:top="218" w:right="118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Adoption of new and revised standards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standards, amendments and interpretations issued but not effective for the year beginning January 1, 2024:</w:t>
      </w:r>
    </w:p>
    <w:p>
      <w:pPr>
        <w:spacing w:after="0" w:line="2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Income Taxes (Topic 740): Improvements to Income Tax Disclosures</w:t>
      </w:r>
      <w:r>
        <w:rPr>
          <w:rFonts w:ascii="Times New Roman" w:cs="Times New Roman" w:eastAsia="Times New Roman" w:hAnsi="Times New Roman"/>
          <w:sz w:val="20"/>
          <w:szCs w:val="20"/>
          <w:color w:val="auto"/>
        </w:rPr>
        <w:t>, requiring companies to annually disclose specific categories in the effective tax rate reconciliation and provide additional information for reconciling items that meet a quantitative threshold. Further, the ASU requires disclosure of income taxes paid (net of refunds received) disaggregated by federal (national), state and foreign taxes and to disaggregate the information by jurisdiction based on a quantitative threshold. The amendments in this ASU are effective for annual periods beginning after December 15, 2024, and early adoption is permitted. The amendments should be applied on a prospective basis, but retrospective application is permitted. The Company is currently reviewing the impact that the adoption of ASU 2023-09 may have on the Company's financial statements and disclosures.</w:t>
      </w:r>
    </w:p>
    <w:p>
      <w:pPr>
        <w:spacing w:after="0" w:line="20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 xml:space="preserve">In March 2024, the FASB issued ASU 2024-01, </w:t>
      </w:r>
      <w:r>
        <w:rPr>
          <w:rFonts w:ascii="Times New Roman" w:cs="Times New Roman" w:eastAsia="Times New Roman" w:hAnsi="Times New Roman"/>
          <w:sz w:val="20"/>
          <w:szCs w:val="20"/>
          <w:b w:val="1"/>
          <w:bCs w:val="1"/>
          <w:i w:val="1"/>
          <w:iCs w:val="1"/>
          <w:color w:val="auto"/>
        </w:rPr>
        <w:t>Compensation—Stock Compensation (Topic 718): Scope Application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Profits Interest and Similar Awards</w:t>
      </w:r>
      <w:r>
        <w:rPr>
          <w:rFonts w:ascii="Times New Roman" w:cs="Times New Roman" w:eastAsia="Times New Roman" w:hAnsi="Times New Roman"/>
          <w:sz w:val="20"/>
          <w:szCs w:val="20"/>
          <w:color w:val="auto"/>
        </w:rPr>
        <w:t>, providing illustrative guidance to help entities determine whether profits interest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similar awards should be accounted for as share-based payment arrangements within the scope of Topic 718. The amendments in this ASU are effective for annual periods beginning after December 15, 2024, and interim periods within those annual periods. Early adoption is allowed, and the amendments can be applied on a prospective or retrospective basis. The Company will adopt ASU 2024-01 on January 1, 2025 and apply the amendments on a prospective basis.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Disaggregation Disclosures (Subtopic 220-40): Disaggregation of Income Statement Expenses</w:t>
      </w:r>
      <w:r>
        <w:rPr>
          <w:rFonts w:ascii="Times New Roman" w:cs="Times New Roman" w:eastAsia="Times New Roman" w:hAnsi="Times New Roman"/>
          <w:sz w:val="20"/>
          <w:szCs w:val="20"/>
          <w:color w:val="auto"/>
        </w:rPr>
        <w:t>. These amendments require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 business entities to disclose additional information about specific expense categories in the notes to financial statements at each interim and annual reporting period. ASU 2024-03 will be effective for annual reporting periods beginning after December 15, 2026, and interim reporting periods beginning after December 15, 2027. Early adoption is permitted. The amendments can be applied prospectively or retrospectively. The Company is currently reviewing the impact that the adoption of ASU 2024-03 may have on the Company's financial statements and disclosures.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and amended standards adopted by the Company:</w:t>
      </w:r>
    </w:p>
    <w:p>
      <w:pPr>
        <w:spacing w:after="0" w:line="24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b w:val="1"/>
          <w:bCs w:val="1"/>
          <w:i w:val="1"/>
          <w:iCs w:val="1"/>
          <w:color w:val="auto"/>
        </w:rPr>
        <w:t>Segment Reporting (Topic 280): Improvements to Reportable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w:t>
      </w:r>
      <w:r>
        <w:rPr>
          <w:rFonts w:ascii="Times New Roman" w:cs="Times New Roman" w:eastAsia="Times New Roman" w:hAnsi="Times New Roman"/>
          <w:sz w:val="20"/>
          <w:szCs w:val="20"/>
          <w:color w:val="auto"/>
        </w:rPr>
        <w:t>. ASU 2023-07 requires disclosure of significant segment expenses and other segment items that are regularly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provided to the CODM and included within each reported measure of segment profit or loss, and the title and position of the entity’s CODM. The amendments in this update also require entities to provide in interim periods all disclosures about a reportable segment’s profit or loss and assets that are currently required annually. ASU 2023-07 was effective for fiscal years beginning after December 15, 2023, and interim periods within fiscal years beginning after December 15, 2024. Amendments in this update are required to be applied retrospectively to all periods presented in the financial statements, unless it is impracticable. The adoption of ASU 2023-07 did not have a material impact on the Company's financial statements and disclosures.</w:t>
      </w:r>
    </w:p>
    <w:p>
      <w:pPr>
        <w:spacing w:after="0" w:line="21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The Company has reviewed all other recently issued accounting pronouncements and concluded that such pronouncements are either not applicable to the Company or no material impact is expected in the consolidated financial statements as a result of future adoption.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Asset acquisition and redeemable preferred stock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Lins Acquisition</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On August 2, 2024, the Company acquired 100% of the outstanding equity interest of Usina Termeletrica de Lins S.A. ("Lins"), which owns key rights and permits to develop a combined cycle gas-fired power plant for up to 2.05GW located in the State of Sao Paulo, within the city limits of Lins, Brazil. The purchase consideration consisted of a $2,000 cash payment made at closing in addition to potential future payments contingent on achieving certain milestones of up to $18,500. As the contingent payments meet the definition of a derivative, the fair value of the contingent payments of $8,080 was included as part of the purchase consideration and was recognized in Other non-current liabilities on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ectPr>
          <w:pgSz w:w="12240" w:h="15840" w:orient="portrait"/>
          <w:cols w:equalWidth="0" w:num="1">
            <w:col w:w="9880"/>
          </w:cols>
          <w:pgMar w:left="1180" w:top="218" w:right="118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Consolidated Balance Sheets upon acquisition. The fair value of the derivative liability was $8,401 as of December 31, 2024.</w:t>
      </w:r>
    </w:p>
    <w:p>
      <w:pPr>
        <w:spacing w:after="0" w:line="18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The purchase of Lins has been accounted for as an asset acquisition. As a result, no goodwill was recorded. The total purchase consideration of $10,080 was allocated to permits and authorizations acquired and is recorded within Intangible assets, net on the Consolidated Balance Sheets. In addition, the Company recognized a deferred tax liability of $4,163 that resulted from the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PortoCem Acquisition</w:t>
      </w:r>
    </w:p>
    <w:p>
      <w:pPr>
        <w:spacing w:after="0" w:line="25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On March 20, 2024, the Company completed transactions pursuant to an agreement among the Company, Ceiba Energy Fundo de Investimento em Participações Multiestratégia - Investimento no Exterior (“Ceiba Energy”) and PortoCem Geração de Energia S.A., a wholly-owned subsidiary of Ceiba Energy (“PortoCem”), pursuant to which the Company issued to Ceiba Energy 96,746 shares of 4.8% Series A Convertible Preferred Stock of the Company (the “Series A Convertible Preferred Stock”), and assumed certain of PortoCem’s existing indebtedness in exchange for all outstanding equity interests in PortoCem, the owner of a 15-year 1.6GW capacity reserve contract in Brazil (the “PortoCem Acquisition”).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PortoCem Acquisition was accounted for as an asset acquisition. As a result, no goodwill was recorded, and the Company’s acquisition-related costs of $592 were included in the purchase consideration. The total purchase consideration of $162,860, which was comprised of the value of the Series A Convertible Preferred Stock issued, PortoCem BTG Loan assumed (defined in Note 20) and deferred tax liability of $37,662 recognized as a result of the acquisition, was allocated to acquired capacity reserve contract within Intangible assets, net.</w:t>
      </w:r>
    </w:p>
    <w:p>
      <w:pPr>
        <w:spacing w:after="0" w:line="2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On October 1, 2024, the Company issued to Ceiba Energy 96,746 shares of the Company’s 4.8% Series B Convertible Preferred Stock, par value $0.01 per share and liquidation preference $1,000 per share (the “Series B Convertible Preferred Stock”), in exchange for all outstanding shares of the Company’s Series A Convertible Preferred Stock. The Company analyzed the exchange based on the change in fair value and determined that the exchange resulted in a substantial change and therefore should be accounted for as an extinguishment. Accordingly, the Company recognized a deemed dividend of $10,833 as the difference between the fair value of the Series B Convertible Preferred Stock issued of $107,388 and the carrying value of the Series A Convertible Preferred Stock prior to the exchange of $96,555. Subsequent to the exchange, the Company's Equity Offering (defined in Note 25) triggered an adjustment to the conversion price. The Company recognized the effect of the down round feature of $6,772 as a deemed dividend and increased Additional paid-in capitial based on the difference between the fair values of the Series B Convertible Preferred Stock using the initial conversion price and the reduced conversion price.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B Convertible Preferred Stock</w:t>
      </w:r>
    </w:p>
    <w:p>
      <w:pPr>
        <w:spacing w:after="0" w:line="254" w:lineRule="exact"/>
        <w:rPr>
          <w:sz w:val="20"/>
          <w:szCs w:val="20"/>
          <w:color w:val="auto"/>
        </w:rPr>
      </w:pPr>
    </w:p>
    <w:p>
      <w:pPr>
        <w:ind w:right="620"/>
        <w:spacing w:after="0" w:line="309" w:lineRule="auto"/>
        <w:rPr>
          <w:sz w:val="20"/>
          <w:szCs w:val="20"/>
          <w:color w:val="auto"/>
        </w:rPr>
      </w:pPr>
      <w:r>
        <w:rPr>
          <w:rFonts w:ascii="Times New Roman" w:cs="Times New Roman" w:eastAsia="Times New Roman" w:hAnsi="Times New Roman"/>
          <w:sz w:val="19"/>
          <w:szCs w:val="19"/>
          <w:color w:val="auto"/>
        </w:rPr>
        <w:t>The Series B Convertible Preferred Stock was issued with substantially consistent terms as the Series A Convertible Preferred Stock, with the exceptions of the conversion price and the dividend rate adjustment as described below.</w:t>
      </w:r>
    </w:p>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Series B Convertible Preferred Stock has a liquidation preference of $1,000 per share and is not subject to any sinking fund. The Series B Convertible Preferred Stock has no stated maturity and will remain outstanding indefinitely unless redeemed or repurchased by the Company or converted into shares of Class A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rights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Series B Convertible Preferred Stock ranks senior to the shares of the Company’s common stock, in terms of dividend rights and rights upon any voluntary or involuntary liquidation, dissolution or winding up of the Company. Holders of Series B Convertible Preferred Stock are entitled to a cumulative dividend at the rate of 4.8% per annum, which is payable quarterly in arrears. If the Company does not declare and pay a dividend, the dividend rate will increase to 9.8% per annum until all accrued but unpaid dividends have been paid in full.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 features</w:t>
      </w:r>
    </w:p>
    <w:p>
      <w:pPr>
        <w:spacing w:after="0" w:line="25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auto"/>
        </w:rPr>
        <w:t>The Series B Convertible Preferred Stock may be converted by each holder, in whole or in minimum increments of 5,000 shares, at any time into a number of shares of Class A common stock per share of Series B Convertible Preferred Stock equal to the quotient of $1,000 per share plus any accumulated and unpaid dividends thereon and the then applicable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ectPr>
          <w:pgSz w:w="12240" w:h="15840" w:orient="portrait"/>
          <w:cols w:equalWidth="0" w:num="1">
            <w:col w:w="9880"/>
          </w:cols>
          <w:pgMar w:left="1180" w:top="218" w:right="118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conversion price. The initial conversion price is $9.96 per share of Class A common stock, subject to customary anti-dilution adjustments.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In December 2024, holders of Series B Convertible Preferred Stock submitted a conversion notice to convert 15,000 shares of Series B Convertible Preferred Stock into 1,673,374 Class A common shares at a conversion price of $9.06 per share. These common shares were issued in January 2025. The Company recorded a reclassification of $16,619 from mezzanine equity to permanent equity as the conversion notice is irrevocable. These Class A common shares are included in the outstanding shares in the Company's EPS calculation.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 rights</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Upon the occurrence of certain events, the holders constituting at least a majority of the outstanding voting power of the Series B Convertible Preferred Stock may require the Company to repurchase the Series B Convertible Preferred Stock, in whole but not in part, for cash or shares of Class A common stock (or any combination thereof) at a repurchase price of $1,000 per share plus any accumulated and unpaid dividends thereon. Contingent events that would allow the holders to require repurchase by the Company include:</w:t>
      </w:r>
    </w:p>
    <w:p>
      <w:pPr>
        <w:spacing w:after="0" w:line="204" w:lineRule="exact"/>
        <w:rPr>
          <w:sz w:val="20"/>
          <w:szCs w:val="20"/>
          <w:color w:val="auto"/>
        </w:rPr>
      </w:pPr>
    </w:p>
    <w:p>
      <w:pPr>
        <w:ind w:left="720" w:right="140" w:hanging="370"/>
        <w:spacing w:after="0" w:line="28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control, downgrade in the credit rating of certain of the Company's debt or if certain financial leverage ratios aren't achieved ("Change Event").</w:t>
      </w:r>
    </w:p>
    <w:p>
      <w:pPr>
        <w:spacing w:after="0" w:line="181" w:lineRule="exact"/>
        <w:rPr>
          <w:rFonts w:ascii="Times New Roman" w:cs="Times New Roman" w:eastAsia="Times New Roman" w:hAnsi="Times New Roman"/>
          <w:sz w:val="20"/>
          <w:szCs w:val="20"/>
          <w:color w:val="auto"/>
        </w:rPr>
      </w:pPr>
    </w:p>
    <w:p>
      <w:pPr>
        <w:ind w:left="720" w:right="60" w:hanging="370"/>
        <w:spacing w:after="0" w:line="286" w:lineRule="auto"/>
        <w:tabs>
          <w:tab w:leader="none" w:pos="72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30th trading day following March 20, 2027, if the arithmetic average of the daily volume-weighted average price of the Company's common stock for the thirty consecutive trading day period beginning on first trading day following March 20, 2027 is less than the then-applicable conversion price ("Share Price Condition").</w:t>
      </w:r>
    </w:p>
    <w:p>
      <w:pPr>
        <w:spacing w:after="0" w:line="1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If the Series B Convertible Preferred Stock is to be repurchased by the Company, the majority of the holders of the Series B Convertible Preferred Stock may require the Company to repurchase the Series B Convertible Preferred Stock for shares of Class A common stock.</w:t>
      </w:r>
    </w:p>
    <w:p>
      <w:pPr>
        <w:spacing w:after="0" w:line="1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Series B Convertible Preferred Stock may be redeemed by the Company, in whole but not in part, at its option upon 45 days’ written notice as follows:</w:t>
      </w:r>
    </w:p>
    <w:p>
      <w:pPr>
        <w:spacing w:after="0" w:line="181" w:lineRule="exact"/>
        <w:rPr>
          <w:sz w:val="20"/>
          <w:szCs w:val="20"/>
          <w:color w:val="auto"/>
        </w:rPr>
      </w:pPr>
    </w:p>
    <w:p>
      <w:pPr>
        <w:ind w:left="720" w:right="220" w:hanging="370"/>
        <w:spacing w:after="0" w:line="266"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March 20, 2027 at a redemption price equal to the greater of (i) $1,000 per share plus any accumulated and unpaid dividends and (ii) the cash amount necessary per share for a holder to achieve a Return on Investment (as defined in the Certificate of Designations) as of the redemption date equal to 1.4;</w:t>
      </w:r>
    </w:p>
    <w:p>
      <w:pPr>
        <w:spacing w:after="0" w:line="195" w:lineRule="exact"/>
        <w:rPr>
          <w:rFonts w:ascii="Times New Roman" w:cs="Times New Roman" w:eastAsia="Times New Roman" w:hAnsi="Times New Roman"/>
          <w:sz w:val="20"/>
          <w:szCs w:val="20"/>
          <w:color w:val="auto"/>
        </w:rPr>
      </w:pPr>
    </w:p>
    <w:p>
      <w:pPr>
        <w:jc w:val="both"/>
        <w:ind w:left="720" w:right="380" w:hanging="370"/>
        <w:spacing w:after="0" w:line="266"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30th trading day following March 20, 2027 if the Share Price Condition is not met or (y) 30 calendar days after the delivery of the required notice if the Share Price Condition is met, in each case, at a redemption price equal to $1,000 per share plus any accumulated and unpaid dividends;</w:t>
      </w:r>
    </w:p>
    <w:p>
      <w:pPr>
        <w:spacing w:after="0" w:line="195" w:lineRule="exact"/>
        <w:rPr>
          <w:rFonts w:ascii="Times New Roman" w:cs="Times New Roman" w:eastAsia="Times New Roman" w:hAnsi="Times New Roman"/>
          <w:sz w:val="20"/>
          <w:szCs w:val="20"/>
          <w:color w:val="auto"/>
        </w:rPr>
      </w:pPr>
    </w:p>
    <w:p>
      <w:pPr>
        <w:ind w:left="720" w:right="220" w:hanging="370"/>
        <w:spacing w:after="0" w:line="281"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a Change Event at a redemption price equal to $1,000 per share plus any accumulated and unpaid dividends.</w:t>
      </w:r>
    </w:p>
    <w:p>
      <w:pPr>
        <w:spacing w:after="0" w:line="18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The Company may redeem the Series B Convertible Preferred Stock for cash or shares of Class A common stock (or any combination thereof); provided that for a redemption prior to March 20, 2027 due to a Change Event, a majority of the holders of the Series B Convertible Preferred Stock may require the Company to redeem for cash or shares of Class A common stock.</w:t>
      </w:r>
    </w:p>
    <w:p>
      <w:pPr>
        <w:spacing w:after="0" w:line="20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Since the redemption of the Series B Convertible Preferred Stock is contingently redeemable and therefore not certain to occur, the Series B Convertible Preferred Stock is not required to be classified as a liability. The Series B Convertible Preferred Stock is redeemable at the option of the holder in certain circumstances upon the occurrence of an event that is not solely within the Company's control, and as such, the Series B Convertible Preferred Stock is classified as mezzanine equity on the Consolidated Balance Sheets.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5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Holders of Series B Convertible Preferred Stock are generally entitled to vote with the holders of common stock on an as-converted basis. Holders of Series B Convertible Preferred Stock are entitled to a separate class vote with respect to</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ectPr>
          <w:pgSz w:w="12240" w:h="15840" w:orient="portrait"/>
          <w:cols w:equalWidth="0" w:num="1">
            <w:col w:w="9860"/>
          </w:cols>
          <w:pgMar w:left="1180" w:top="218" w:right="120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amendments to the Company’s organizational documents that adversely affect the rights, preferences or voting powers of the Series B Convertible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Dispositions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Turbine sale</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In March 2024, the Company completed a series of transactions that included the sale of turbines and related equipment to the Puerto Rico Electric Power Authority ("PREPA") under an Asset Purchase Agreement ("APA"). The Company deployed this equipment in 2023 in response to a request to provide emergency power to stabilize the power grid in Puerto Rico. The purchase price was $306,599. Additionally, the APA includes a requirement that the Company provide major maintenance services on certain of the sold turbines within 12 months of the sale date; the standalone selling price of these maintenance services of $15,330 will be recognized when these services are performed, and the transaction price allocated to the sale of turbines was reduced by this amount. The Company recognized $3,830 of the maintenance services revenue during the year ended December 31, 2024. The book value of the turbines and equipment at the time of sale was $368,799, and the Company recognized a loss of $77,562 in Loss on sale of assets, net in the Consolidated Statements of Operations and Comprehensive (Loss) Income.</w:t>
      </w:r>
    </w:p>
    <w:p>
      <w:pPr>
        <w:spacing w:after="0" w:line="21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A portion of the assets sold to PREPA were previously leased by the Company. To facilitate the sale of these leased turbines, the Company terminated leases, acquiring turbines and equipment immediately prior to the sale of such turbines and equipment to PREPA. The cost to acquire the leased turbines, including the write-off of the right-of-use asset and lease liability were included in the book value of the turbines and the related loss upon sale.</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As part of these transactions, the Company repaid the Equipment Notes (See Note 20) that were collateralized by the sold turbines, recognizing a loss on extinguishment of debt of $7,879, which was comprised of fees due upon prepayment as well as the unamortized portion of financing costs incurred at the inception of the loan.</w:t>
      </w:r>
    </w:p>
    <w:p>
      <w:pPr>
        <w:spacing w:after="0" w:line="19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auto"/>
        </w:rPr>
        <w:t>The Company's contract to provide emergency power services to support the grid stabilization project was also terminated. All unrecognized contract liabilities and cost to fulfil at the time of termination were recognized in the Consolidated Statements of Operations and Comprehensive (Loss) Income (See Note 7). The Company believes that there are remedies available under the customer contract, and is currently pursuing these remedies. As the outcome of this process is uncertain, any transaction price associated with closing this contract has been fully constrained. The Company has been awarded a new gas sale agreement with PREPA under which the Company is providing gas supply to the sold turbines.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Miami Facility</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On June 30, 2024, the Company entered into a definitive agreement to sell its LNG liquefaction facility located in Miami (the "Miami Facility") for $62,000, subject to certain purchase price adjustments at close. The assets related to the Miami Facility were classified as held for sale as of June 30, 2024. In conjunction with the classification to held for sale and completion of the sale in the fourth quarter, the Company recognized an impairment loss of $16,016 within Asset impairment expense in the Consolidated Statements of Operations and Comprehensive Income (Loss), which includes the allocation of goodwill to this business disposition of $10,410.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Energos Formation Transaction</w:t>
      </w:r>
    </w:p>
    <w:p>
      <w:pPr>
        <w:spacing w:after="0" w:line="2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 xml:space="preserve">On August 15, 2022, the Company completed a transaction (the “Energos Formation Transaction”) with an affiliate of Apollo Global Management, Inc., pursuant to which the Company transferred ownership of 11 vessels to Energos Infrastructure ("Energos") in exchange for approximately $1.85 billion in cash and a 20% equity interest in Energos. Ten of the vessels were subject to current or future charters with the Company and one vessel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was not subject to a future NFE charter. The in-place and future charters to the Company of ten vessels prevent the recognition of the sale of those vessels to Energos, and the proceeds associated with these vessels have been treated as a failed sale leaseback. As a result, these ten vessels continue to be recognized on the Consolidated Balance Sheets as Property, plant and equipment, and the proceeds are recognized as debt ("Vessel Financing Obligation"). Consistent with this treatment as a failed sale leaseback, (i) the third party charter revenues continue to be recognized by the Company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The Company had accounted for the investment in Energos as an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ectPr>
          <w:pgSz w:w="12240" w:h="15840" w:orient="portrait"/>
          <w:cols w:equalWidth="0" w:num="1">
            <w:col w:w="9880"/>
          </w:cols>
          <w:pgMar w:left="1180" w:top="218" w:right="118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equity method investment; see Note 13 for further discussion of this investment. In February 2024, the Company sold substantially all of its stake in Energos.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Revenue recognition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revenue in the Consolidated Statements of Operations and Comprehensive (Loss) Income includes revenue from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of LNG and natural gas as well as outputs from the Company’s natural gas-fueled power generation facilities,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power and steam, and the sale of LNG cargos. Included in operating revenue are LNG cargo sales to customers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$291,000, $618,521, and $1,175,866 for the years ended December 31, 2024, 2023 and 2022, respectively, which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included $34,832 from the cargo sales from the Company's first FLNG project in 2024. LNG cargo sales included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$332,000 of contract settlements for the year ended December 31, 2023. There were no such contract settlements for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years ended December 31, 2024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The table below summarizes the activity in Other revenue: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556"/>
        </w:trPr>
        <w:tc>
          <w:tcPr>
            <w:tcW w:w="5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65"/>
        </w:trPr>
        <w:tc>
          <w:tcPr>
            <w:tcW w:w="58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77"/>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 and maintenance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147,596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49,900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income and other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10,749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26,341</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32,469</w:t>
            </w:r>
          </w:p>
        </w:tc>
      </w:tr>
      <w:tr>
        <w:trPr>
          <w:trHeight w:val="260"/>
        </w:trPr>
        <w:tc>
          <w:tcPr>
            <w:tcW w:w="58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other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158,345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76,241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32,469</w:t>
            </w:r>
          </w:p>
        </w:tc>
      </w:tr>
      <w:tr>
        <w:trPr>
          <w:trHeight w:val="20"/>
        </w:trPr>
        <w:tc>
          <w:tcPr>
            <w:tcW w:w="5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7">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Operation and maintenance revenue is recognized by Genera, under its contract for the operation and maintenance of PREPA's thermal generation assets. Operation and maintenance revenue includes a fixed annual fee and reimbursement for pass-through expenses, including payroll expenses of Genera employees, beginning when the contract commenced on July 1, 2023. Amounts recognized in the year ended December 31, 2024 also include $15,707 of variable consideration for incentive fees earned for cost savings realized by PREPA. Variable consideration has been estimated based on the most likely amount method, and the Company includes estimated amounts in the transaction price to the extent it is probable that a significant reversal of cumulative revenue recognized will not occur when the uncertainty associated with the variable consideration is resolved. The determination of estimated amounts included in the transaction price is based largely upon an assessment of the uncertainties associated with the variable consideration, including the susceptibility of payment to factors outside of the Company’s control. The Company considers all information that is reasonably available, including historical, current and estimates of future performance.</w:t>
      </w:r>
    </w:p>
    <w:p>
      <w:pPr>
        <w:spacing w:after="0" w:line="2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Under most customer contracts, invoicing occurs once the Company’s performance obligations have been satisfied, at which point payment is unconditional. As of December 31, 2024 and 2023, receivables related to revenue from contracts with customers totaled $330,944 and $331,108, respectively, and were included in Receivables, net on the Consolidated Balance Sheets, net of current expected credit losses of $13,629 and $1,158, respectively. Other items included in Receivables, net not related to revenue from contracts with customers represent leases, which are accounted for outside the scope of ASC 606.</w:t>
      </w:r>
    </w:p>
    <w:p>
      <w:pPr>
        <w:spacing w:after="0" w:line="20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9"/>
          <w:szCs w:val="19"/>
          <w:color w:val="auto"/>
        </w:rPr>
        <w:t>Contract assets include unbilled amounts resulting from contracts with variable considerations, in which the performance obligation is satisfied and revenue is recognized. The Company has recognized contract liabilities, comprised of unconditional payments due or paid under the contracts with customers prior to the Company’s satisfaction of the related performance obligations. The contract assets and contract liabilities balances as of December 31, 2024 and 2023 are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F-25</w:t>
      </w:r>
    </w:p>
    <w:p>
      <w:pPr>
        <w:sectPr>
          <w:pgSz w:w="12240" w:h="15840" w:orient="portrait"/>
          <w:cols w:equalWidth="0" w:num="1">
            <w:col w:w="9900"/>
          </w:cols>
          <w:pgMar w:left="1180" w:top="218" w:right="1160"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84"/>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detailed below:</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assets, net - current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44,902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8,714</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assets, net - non-current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19,901</w:t>
            </w:r>
          </w:p>
        </w:tc>
        <w:tc>
          <w:tcPr>
            <w:tcW w:w="0" w:type="dxa"/>
            <w:vAlign w:val="bottom"/>
          </w:tcPr>
          <w:p>
            <w:pPr>
              <w:spacing w:after="0"/>
              <w:rPr>
                <w:sz w:val="1"/>
                <w:szCs w:val="1"/>
                <w:color w:val="auto"/>
              </w:rPr>
            </w:pP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contract assets, net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65,172</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28,615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liabilities, net - current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14,415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65,287</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liabilities, net - non-current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11,750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31,698</w:t>
            </w:r>
          </w:p>
        </w:tc>
        <w:tc>
          <w:tcPr>
            <w:tcW w:w="0" w:type="dxa"/>
            <w:vAlign w:val="bottom"/>
          </w:tcPr>
          <w:p>
            <w:pPr>
              <w:spacing w:after="0"/>
              <w:rPr>
                <w:sz w:val="1"/>
                <w:szCs w:val="1"/>
                <w:color w:val="auto"/>
              </w:rPr>
            </w:pP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contract liabilities,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26,165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96,985</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Revenue recognized in the year from:</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Amounts included in contract liabilities at the beginning of the year</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82,454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-1908810</wp:posOffset>
            </wp:positionV>
            <wp:extent cx="6324600" cy="1930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8">
                      <a:extLst>
                        <a:ext uri="{28A0092B-C50C-407E-A947-70E740481C1C}"/>
                      </a:extLst>
                    </a:blip>
                    <a:srcRect/>
                    <a:stretch>
                      <a:fillRect/>
                    </a:stretch>
                  </pic:blipFill>
                  <pic:spPr bwMode="auto">
                    <a:xfrm>
                      <a:off x="0" y="0"/>
                      <a:ext cx="6324600" cy="1930400"/>
                    </a:xfrm>
                    <a:prstGeom prst="rect">
                      <a:avLst/>
                    </a:prstGeom>
                    <a:noFill/>
                  </pic:spPr>
                </pic:pic>
              </a:graphicData>
            </a:graphic>
          </wp:anchor>
        </w:drawing>
      </w:r>
    </w:p>
    <w:p>
      <w:pPr>
        <w:spacing w:after="0" w:line="271" w:lineRule="exact"/>
        <w:rPr>
          <w:sz w:val="20"/>
          <w:szCs w:val="20"/>
          <w:color w:val="auto"/>
        </w:rPr>
      </w:pPr>
    </w:p>
    <w:p>
      <w:pPr>
        <w:ind w:right="940"/>
        <w:spacing w:after="0" w:line="281" w:lineRule="auto"/>
        <w:rPr>
          <w:sz w:val="20"/>
          <w:szCs w:val="20"/>
          <w:color w:val="auto"/>
        </w:rPr>
      </w:pPr>
      <w:r>
        <w:rPr>
          <w:rFonts w:ascii="Times New Roman" w:cs="Times New Roman" w:eastAsia="Times New Roman" w:hAnsi="Times New Roman"/>
          <w:sz w:val="20"/>
          <w:szCs w:val="20"/>
          <w:color w:val="auto"/>
        </w:rPr>
        <w:t>Contract assets are presented net of expected credit losses of $158 and $326 as of December 31, 2024 and 2023, respectively.</w:t>
      </w:r>
    </w:p>
    <w:p>
      <w:pPr>
        <w:spacing w:after="0" w:line="18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20"/>
          <w:szCs w:val="20"/>
          <w:color w:val="auto"/>
        </w:rPr>
        <w:t>Contract liabilities decreased in 2024 due to the termination of the Company's contract to support the grid stabilization project in Puerto Rico (Refer to Note 5). Deferred revenue at the time of termination of $43,577 was recognized as Operating revenue in the Consolidated Statements of Operations and Comprehensive (Loss) Income.</w:t>
      </w:r>
    </w:p>
    <w:p>
      <w:pPr>
        <w:spacing w:after="0" w:line="19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 of the agreement. As of December 31, 2024, the Company has capitalized $22,797, of which $2,205 of these costs is presented within Prepaid expenses, net and other current assets, net and $20,592 is presented within Other non-current assets, net on the Consolidated Balance Sheets. As of December 31, 2023, the Company had capitalized $25,282, of which $2,864 of these costs was presented within Prepaid expenses and other current assets, net and $22,418 was presented within Other non-current assets, net on the Consolidated Balance Sheets.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the revenue recognized under ASC 606 as discussed above, in the fourth quarter of 2024, the Company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novated an LNG supply contract to a customer, and the Company received $295,558 in 2024, including a prepayment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$60,000 that was received in the third quarter of 2024. As this payment was non-refundable and relieved the Company of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portion of its guarantee obligation under this arrangement (Note 21), these payments were recognized as contract novation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with the revenue and income caption in the Consolidated Statements of Operations and Comprehensive (Loss)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remaining performance obligations</w:t>
      </w:r>
    </w:p>
    <w:p>
      <w:pPr>
        <w:spacing w:after="0" w:line="25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8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F-26</w:t>
      </w:r>
    </w:p>
    <w:p>
      <w:pPr>
        <w:sectPr>
          <w:pgSz w:w="12240" w:h="15840" w:orient="portrait"/>
          <w:cols w:equalWidth="0" w:num="1">
            <w:col w:w="9900"/>
          </w:cols>
          <w:pgMar w:left="1180" w:top="210" w:right="1160" w:bottom="0" w:gutter="0" w:footer="0" w:header="0"/>
          <w:type w:val="continuous"/>
        </w:sectPr>
      </w:pPr>
    </w:p>
    <w:bookmarkStart w:id="128" w:name="page129"/>
    <w:bookmarkEnd w:id="12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440"/>
        <w:spacing w:after="0" w:line="281" w:lineRule="auto"/>
        <w:rPr>
          <w:sz w:val="20"/>
          <w:szCs w:val="20"/>
          <w:color w:val="auto"/>
        </w:rPr>
      </w:pPr>
      <w:r>
        <w:rPr>
          <w:rFonts w:ascii="Times New Roman" w:cs="Times New Roman" w:eastAsia="Times New Roman" w:hAnsi="Times New Roman"/>
          <w:sz w:val="20"/>
          <w:szCs w:val="20"/>
          <w:color w:val="auto"/>
        </w:rPr>
        <w:t>multiplied by the outstanding minimum guaranteed volumes. The Company expects to recognize this revenue over the following time periods. The pattern of recognition reflects the minimum guaranteed volumes in each period:</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Revenue</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362,657</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709,063</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707,329</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691,558</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677,365</w:t>
            </w: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9,120,982</w:t>
            </w:r>
          </w:p>
        </w:tc>
      </w:tr>
      <w:tr>
        <w:trPr>
          <w:trHeight w:val="260"/>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12,268,954</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324600" cy="138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9">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For all other sales contracts that have a term exceeding one year, the Company has elected the practical expedient in ASC</w:t>
      </w:r>
    </w:p>
    <w:p>
      <w:pPr>
        <w:spacing w:after="0" w:line="30" w:lineRule="exact"/>
        <w:rPr>
          <w:sz w:val="20"/>
          <w:szCs w:val="20"/>
          <w:color w:val="auto"/>
        </w:rPr>
      </w:pPr>
    </w:p>
    <w:p>
      <w:pPr>
        <w:ind w:left="10" w:right="180" w:hanging="10"/>
        <w:spacing w:after="0" w:line="263" w:lineRule="auto"/>
        <w:tabs>
          <w:tab w:leader="none" w:pos="41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this expedient,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w:t>
      </w:r>
    </w:p>
    <w:p>
      <w:pPr>
        <w:spacing w:after="0" w:line="1" w:lineRule="exact"/>
        <w:rPr>
          <w:rFonts w:ascii="Times New Roman" w:cs="Times New Roman" w:eastAsia="Times New Roman" w:hAnsi="Times New Roman"/>
          <w:sz w:val="19"/>
          <w:szCs w:val="19"/>
          <w:color w:val="auto"/>
        </w:rPr>
      </w:pPr>
    </w:p>
    <w:p>
      <w:pPr>
        <w:jc w:val="both"/>
        <w:ind w:left="10" w:right="140"/>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Lessor arrangements</w:t>
      </w:r>
    </w:p>
    <w:p>
      <w:pPr>
        <w:spacing w:after="0" w:line="259" w:lineRule="exact"/>
        <w:rPr>
          <w:sz w:val="20"/>
          <w:szCs w:val="20"/>
          <w:color w:val="auto"/>
        </w:rPr>
      </w:pPr>
    </w:p>
    <w:p>
      <w:pPr>
        <w:ind w:left="10" w:right="180"/>
        <w:spacing w:after="0" w:line="260" w:lineRule="auto"/>
        <w:rPr>
          <w:sz w:val="20"/>
          <w:szCs w:val="20"/>
          <w:color w:val="auto"/>
        </w:rPr>
      </w:pPr>
      <w:r>
        <w:rPr>
          <w:rFonts w:ascii="Times New Roman" w:cs="Times New Roman" w:eastAsia="Times New Roman" w:hAnsi="Times New Roman"/>
          <w:sz w:val="20"/>
          <w:szCs w:val="20"/>
          <w:color w:val="auto"/>
        </w:rPr>
        <w:t>Vessels that are chartered to customers under operating leases are recognized within Vessels in Note 15. Vessels included in the Energos Formation Transaction, including those vessels chartered to third parties, continue to be recognized on the Consolidated Balance Sheets, and as such, the carrying amount of these vessels that are leased to third parties under operating leases is as follows:</w:t>
      </w:r>
    </w:p>
    <w:p>
      <w:pPr>
        <w:spacing w:after="0" w:line="257"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602,192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686,683</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(83,135)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(69,977)</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519,057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616,706</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The components of lease income from vessel operating leases for the years ended December 31, 2024, 2023 and 2022 are shown below. As the Company has not recognized the sale of all of the vessels included in the Energos Formation Transaction, the operating lease income shown below for the years ended December 31, 2024, 2023, and 2022 respectively, includes revenue from third-party charters of vessels included in the Energos Formation Transaction.</w:t>
      </w:r>
    </w:p>
    <w:p>
      <w:pPr>
        <w:spacing w:after="0" w:line="227"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income</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194,913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276,113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328,366</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income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17,696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22,940</w:t>
            </w:r>
          </w:p>
        </w:tc>
      </w:tr>
      <w:tr>
        <w:trPr>
          <w:trHeight w:val="26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operating lease income</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212,609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276,843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351,306</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1">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5" w:lineRule="exact"/>
        <w:rPr>
          <w:sz w:val="20"/>
          <w:szCs w:val="20"/>
          <w:color w:val="auto"/>
        </w:rPr>
      </w:pPr>
    </w:p>
    <w:p>
      <w:pPr>
        <w:ind w:left="10" w:right="40"/>
        <w:spacing w:after="0" w:line="257" w:lineRule="auto"/>
        <w:rPr>
          <w:sz w:val="20"/>
          <w:szCs w:val="20"/>
          <w:color w:val="auto"/>
        </w:rPr>
      </w:pPr>
      <w:r>
        <w:rPr>
          <w:rFonts w:ascii="Times New Roman" w:cs="Times New Roman" w:eastAsia="Times New Roman" w:hAnsi="Times New Roman"/>
          <w:sz w:val="20"/>
          <w:szCs w:val="20"/>
          <w:color w:val="auto"/>
        </w:rPr>
        <w:t xml:space="preserve">Prior to the completion of the Energos Formation Transaction, the Company's charter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was accounted for as a finance lease, and the Company recognized interest income of $28,643 for the year ended December 31, 2022, related to the finance lease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which was presented within Other revenue in the Consolidated Statements of Operations and Comprehensive (Loss) Income. The Company also recognized revenue of $5,852 for the year ended December 31, 2022, related to the operation and services agreement and variable charter revenue within Vessel charter revenue in the Consolidated Statements of Operations and Comprehensive (Loss) Income.</w:t>
      </w:r>
    </w:p>
    <w:p>
      <w:pPr>
        <w:spacing w:after="0" w:line="202" w:lineRule="exact"/>
        <w:rPr>
          <w:sz w:val="20"/>
          <w:szCs w:val="20"/>
          <w:color w:val="auto"/>
        </w:rPr>
      </w:pPr>
    </w:p>
    <w:p>
      <w:pPr>
        <w:ind w:left="10" w:right="20"/>
        <w:spacing w:after="0" w:line="313" w:lineRule="auto"/>
        <w:rPr>
          <w:sz w:val="20"/>
          <w:szCs w:val="20"/>
          <w:color w:val="auto"/>
        </w:rPr>
      </w:pPr>
      <w:r>
        <w:rPr>
          <w:rFonts w:ascii="Times New Roman" w:cs="Times New Roman" w:eastAsia="Times New Roman" w:hAnsi="Times New Roman"/>
          <w:sz w:val="19"/>
          <w:szCs w:val="19"/>
          <w:color w:val="auto"/>
        </w:rPr>
        <w:t xml:space="preserve">The Company recognized the sale of the net investment in the finance lease of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xml:space="preserve"> as part of the Energos Formation Transaction. Proceeds of $593,000 were allocated to the sale of this financial asset, and upon derecognition of the finance</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F-27</w:t>
      </w:r>
    </w:p>
    <w:p>
      <w:pPr>
        <w:sectPr>
          <w:pgSz w:w="12240" w:h="15840" w:orient="portrait"/>
          <w:cols w:equalWidth="0" w:num="1">
            <w:col w:w="9910"/>
          </w:cols>
          <w:pgMar w:left="1170" w:top="218" w:right="1160" w:bottom="0" w:gutter="0" w:footer="0" w:header="0"/>
          <w:type w:val="continuous"/>
        </w:sectPr>
      </w:pPr>
    </w:p>
    <w:bookmarkStart w:id="129" w:name="page130"/>
    <w:bookmarkEnd w:id="12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160"/>
        <w:spacing w:after="0" w:line="281" w:lineRule="auto"/>
        <w:rPr>
          <w:sz w:val="20"/>
          <w:szCs w:val="20"/>
          <w:color w:val="auto"/>
        </w:rPr>
      </w:pPr>
      <w:r>
        <w:rPr>
          <w:rFonts w:ascii="Times New Roman" w:cs="Times New Roman" w:eastAsia="Times New Roman" w:hAnsi="Times New Roman"/>
          <w:sz w:val="20"/>
          <w:szCs w:val="20"/>
          <w:color w:val="auto"/>
        </w:rPr>
        <w:t>lease, a loss of $14,598 was recognized as Other expense (income), net, in the Consolidated Statements of Operations and Comprehensive (Loss) Income for the year ended December 31, 2022.</w:t>
      </w:r>
    </w:p>
    <w:p>
      <w:pPr>
        <w:spacing w:after="0" w:line="181" w:lineRule="exact"/>
        <w:rPr>
          <w:sz w:val="20"/>
          <w:szCs w:val="20"/>
          <w:color w:val="auto"/>
        </w:rPr>
      </w:pPr>
    </w:p>
    <w:p>
      <w:pPr>
        <w:ind w:left="10" w:right="640"/>
        <w:spacing w:after="0" w:line="266" w:lineRule="auto"/>
        <w:rPr>
          <w:sz w:val="20"/>
          <w:szCs w:val="20"/>
          <w:color w:val="auto"/>
        </w:rPr>
      </w:pPr>
      <w:r>
        <w:rPr>
          <w:rFonts w:ascii="Times New Roman" w:cs="Times New Roman" w:eastAsia="Times New Roman" w:hAnsi="Times New Roman"/>
          <w:sz w:val="20"/>
          <w:szCs w:val="20"/>
          <w:color w:val="auto"/>
        </w:rPr>
        <w:t>Subsequent to the Energos Formation Transaction, all cash receipts on long-term vessel charters will be received by Energos. As such, future cash receipts from both operating leases and finance leases were not significant as of December 31, 2024.</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8. Leases, as lessee</w:t>
      </w:r>
    </w:p>
    <w:p>
      <w:pPr>
        <w:spacing w:after="0" w:line="25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204" w:lineRule="exact"/>
        <w:rPr>
          <w:sz w:val="20"/>
          <w:szCs w:val="20"/>
          <w:color w:val="auto"/>
        </w:rPr>
      </w:pPr>
    </w:p>
    <w:p>
      <w:pPr>
        <w:ind w:left="10" w:right="40"/>
        <w:spacing w:after="0" w:line="270" w:lineRule="auto"/>
        <w:rPr>
          <w:sz w:val="20"/>
          <w:szCs w:val="20"/>
          <w:color w:val="auto"/>
        </w:rPr>
      </w:pPr>
      <w:r>
        <w:rPr>
          <w:rFonts w:ascii="Times New Roman" w:cs="Times New Roman" w:eastAsia="Times New Roman" w:hAnsi="Times New Roman"/>
          <w:sz w:val="19"/>
          <w:szCs w:val="19"/>
          <w:color w:val="auto"/>
        </w:rPr>
        <w:t>The Company’s leases include fixed lease payments which may include escalation terms based on a fixed percentage or may vary based on an inflation index or other market adjustments. Escalations resulting from changes in inflation indices and market adjustments, as well as other lease costs that depend on the use of the underlying asset, are not considered lease payments when calculating the lease liability or ROU asset. Instead, such payments are accounted for as variable lease cost when the condition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94" w:lineRule="exact"/>
        <w:rPr>
          <w:sz w:val="20"/>
          <w:szCs w:val="20"/>
          <w:color w:val="auto"/>
        </w:rPr>
      </w:pPr>
    </w:p>
    <w:p>
      <w:pPr>
        <w:ind w:left="10" w:right="240"/>
        <w:spacing w:after="0" w:line="281" w:lineRule="auto"/>
        <w:rPr>
          <w:sz w:val="20"/>
          <w:szCs w:val="20"/>
          <w:color w:val="auto"/>
        </w:rPr>
      </w:pPr>
      <w:r>
        <w:rPr>
          <w:rFonts w:ascii="Times New Roman" w:cs="Times New Roman" w:eastAsia="Times New Roman" w:hAnsi="Times New Roman"/>
          <w:sz w:val="20"/>
          <w:szCs w:val="20"/>
          <w:color w:val="auto"/>
        </w:rPr>
        <w:t>As of December 31, 2024 and 2023, ROU assets, current lease liabilities and non-current lease liabilities consisted of the following:</w:t>
      </w:r>
    </w:p>
    <w:p>
      <w:pPr>
        <w:spacing w:after="0" w:line="23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right-of-use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599,937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538,055</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Finance right-of-use assets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18,796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50,330</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right-of-use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618,733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588,385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124,391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135,867</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28,681</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current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128,362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164,548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471,961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390,519</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15,975</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non-current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475,161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406,494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-2317115</wp:posOffset>
            </wp:positionV>
            <wp:extent cx="6324600" cy="2336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2">
                      <a:extLst>
                        <a:ext uri="{28A0092B-C50C-407E-A947-70E740481C1C}"/>
                      </a:extLst>
                    </a:blip>
                    <a:srcRect/>
                    <a:stretch>
                      <a:fillRect/>
                    </a:stretch>
                  </pic:blipFill>
                  <pic:spPr bwMode="auto">
                    <a:xfrm>
                      <a:off x="0" y="0"/>
                      <a:ext cx="6324600" cy="2336800"/>
                    </a:xfrm>
                    <a:prstGeom prst="rect">
                      <a:avLst/>
                    </a:prstGeom>
                    <a:noFill/>
                  </pic:spPr>
                </pic:pic>
              </a:graphicData>
            </a:graphic>
          </wp:anchor>
        </w:drawing>
      </w:r>
    </w:p>
    <w:p>
      <w:pPr>
        <w:spacing w:after="0" w:line="228" w:lineRule="exact"/>
        <w:rPr>
          <w:sz w:val="20"/>
          <w:szCs w:val="20"/>
          <w:color w:val="auto"/>
        </w:rPr>
      </w:pPr>
    </w:p>
    <w:p>
      <w:pPr>
        <w:ind w:left="370" w:right="340" w:hanging="370"/>
        <w:spacing w:after="0" w:line="226" w:lineRule="auto"/>
        <w:tabs>
          <w:tab w:leader="none" w:pos="370"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Finance lease ROU assets are recorded net of accumulated amortization of $8,134 and $21,470 as of December 31, 2024 and 2023, respectively.</w:t>
      </w:r>
    </w:p>
    <w:p>
      <w:pPr>
        <w:spacing w:after="0" w:line="222" w:lineRule="exact"/>
        <w:rPr>
          <w:sz w:val="20"/>
          <w:szCs w:val="20"/>
          <w:color w:val="auto"/>
        </w:rPr>
      </w:pPr>
    </w:p>
    <w:p>
      <w:pPr>
        <w:ind w:left="10" w:right="320"/>
        <w:spacing w:after="0" w:line="260" w:lineRule="auto"/>
        <w:rPr>
          <w:sz w:val="20"/>
          <w:szCs w:val="20"/>
          <w:color w:val="auto"/>
        </w:rPr>
      </w:pPr>
      <w:r>
        <w:rPr>
          <w:rFonts w:ascii="Times New Roman" w:cs="Times New Roman" w:eastAsia="Times New Roman" w:hAnsi="Times New Roman"/>
          <w:sz w:val="20"/>
          <w:szCs w:val="20"/>
          <w:color w:val="auto"/>
        </w:rPr>
        <w:t>During 2024, the Company terminated the finance lease of certain turbines and purchased the turbines. Immediately subsequent to the purchase of the turbines, the assets were sold as part of the sale of assets to PREPA (Refer to Note 5). The termination of the lease resulted in the write-off of the right-of-use asset and lease liability of $23,431 and $29,443, respectively, which was included in the book value of the turbines and the related loss upon sale.</w:t>
      </w:r>
    </w:p>
    <w:p>
      <w:pPr>
        <w:spacing w:after="0" w:line="203"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In addition, the Company terminated the operating lease of three turbines during 2024. The termination of the lease resulted in the write-off of the right-of-use asset and lease liability of $21,821 and $25,762 respectively, and a loss on lease termination of $4,789 recognized within Other expense (income), net in the Consolidated Statements of Operations and Comprehensive (Loss) Income.</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F-28</w:t>
      </w:r>
    </w:p>
    <w:p>
      <w:pPr>
        <w:sectPr>
          <w:pgSz w:w="12240" w:h="15840" w:orient="portrait"/>
          <w:cols w:equalWidth="0" w:num="1">
            <w:col w:w="9910"/>
          </w:cols>
          <w:pgMar w:left="1170" w:top="218" w:right="116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2024, 2023, and 2022, the Company’s operating lease cost recorded within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Income was as follows: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2"/>
                <w:szCs w:val="22"/>
                <w:color w:val="auto"/>
              </w:rPr>
            </w:pPr>
          </w:p>
        </w:tc>
      </w:tr>
      <w:tr>
        <w:trPr>
          <w:trHeight w:val="288"/>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Fixed lease cost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161,830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109,873</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75,771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20,129</w:t>
            </w:r>
          </w:p>
        </w:tc>
      </w:tr>
      <w:tr>
        <w:trPr>
          <w:trHeight w:val="61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Cost of sales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88,608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87,610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Operations and maintenance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42,520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Selling, 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-1346835</wp:posOffset>
            </wp:positionV>
            <wp:extent cx="6311900" cy="13684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3">
                      <a:extLst>
                        <a:ext uri="{28A0092B-C50C-407E-A947-70E740481C1C}"/>
                      </a:extLst>
                    </a:blip>
                    <a:srcRect/>
                    <a:stretch>
                      <a:fillRect/>
                    </a:stretch>
                  </pic:blipFill>
                  <pic:spPr bwMode="auto">
                    <a:xfrm>
                      <a:off x="0" y="0"/>
                      <a:ext cx="6311900" cy="1368425"/>
                    </a:xfrm>
                    <a:prstGeom prst="rect">
                      <a:avLst/>
                    </a:prstGeom>
                    <a:noFill/>
                  </pic:spPr>
                </pic:pic>
              </a:graphicData>
            </a:graphic>
          </wp:anchor>
        </w:drawing>
      </w:r>
    </w:p>
    <w:p>
      <w:pPr>
        <w:spacing w:after="0" w:line="278"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20"/>
          <w:szCs w:val="20"/>
          <w:color w:val="auto"/>
        </w:rPr>
        <w:t>For the years ended December 31, 2024, 2023 and 2022, the Company has capitalized $36,288, $61,320 and $20,403 of lease costs, respectively. Capitalized costs include vessels and port space used during the commissioning of development projects. Short-term lease costs for vessels chartered by the Company to transport inventory from a supplier’s facilities to the Company’s storage locations are capitalized to inventory.</w:t>
      </w:r>
    </w:p>
    <w:p>
      <w:pPr>
        <w:spacing w:after="0" w:line="20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Company has leases of ISO tanks and a parcel of land that are recognized as finance leases. For the years ended December 31, 2024, 2023 and 2022, the Company’s finance interest expense and amortization recorded in Interest expense and Depreciation and amortization, respectively, within the Consolidated Statements of Operations and Comprehensive (Loss) Income were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0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40" w:type="dxa"/>
            <w:vAlign w:val="bottom"/>
          </w:tcPr>
          <w:p>
            <w:pPr>
              <w:spacing w:after="0"/>
              <w:rPr>
                <w:sz w:val="22"/>
                <w:szCs w:val="22"/>
                <w:color w:val="auto"/>
              </w:rPr>
            </w:pPr>
          </w:p>
        </w:tc>
      </w:tr>
      <w:tr>
        <w:trPr>
          <w:trHeight w:val="288"/>
        </w:trPr>
        <w:tc>
          <w:tcPr>
            <w:tcW w:w="5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related to finance leases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r>
      <w:tr>
        <w:trPr>
          <w:trHeight w:val="30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right-of-use asset related to finance leases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-384810</wp:posOffset>
            </wp:positionV>
            <wp:extent cx="6311900" cy="406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4">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7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auto"/>
        </w:rPr>
        <w:t>Cash paid for operating leases is reported in operating activities in the Consolidated Statements of Cash Flows. Supplemental cash flow information related to leases was as follows for the years ended December 31, 2024, 2023 and 2022:</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cash outflows for operating lease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175,862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133,132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96,698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Financing cash outflows for finance lease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3,697</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w:t>
            </w: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206,344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265,537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135,075</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finance lease</w:t>
            </w: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47,672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-1013460</wp:posOffset>
            </wp:positionV>
            <wp:extent cx="6311900" cy="1035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5">
                      <a:extLst>
                        <a:ext uri="{28A0092B-C50C-407E-A947-70E740481C1C}"/>
                      </a:extLst>
                    </a:blip>
                    <a:srcRect/>
                    <a:stretch>
                      <a:fillRect/>
                    </a:stretch>
                  </pic:blipFill>
                  <pic:spPr bwMode="auto">
                    <a:xfrm>
                      <a:off x="0" y="0"/>
                      <a:ext cx="6311900" cy="103505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F-29</w:t>
      </w:r>
    </w:p>
    <w:p>
      <w:pPr>
        <w:sectPr>
          <w:pgSz w:w="12240" w:h="15840" w:orient="portrait"/>
          <w:cols w:equalWidth="0" w:num="1">
            <w:col w:w="9900"/>
          </w:cols>
          <w:pgMar w:left="1180" w:top="218" w:right="1160" w:bottom="0" w:gutter="0" w:footer="0" w:header="0"/>
          <w:type w:val="continuous"/>
        </w:sectPr>
      </w:pPr>
    </w:p>
    <w:bookmarkStart w:id="131" w:name="page132"/>
    <w:bookmarkEnd w:id="131"/>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future payments due under operating and finance leases as of December 31, 2024 are as follows:</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Financing</w:t>
            </w:r>
          </w:p>
        </w:tc>
      </w:tr>
      <w:tr>
        <w:trPr>
          <w:trHeight w:val="263"/>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Leases</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2,592</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110,468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240,447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w:t>
            </w:r>
          </w:p>
        </w:tc>
      </w:tr>
      <w:tr>
        <w:trPr>
          <w:trHeight w:val="277"/>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Lease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830,639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7,885</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Less: effects of discounting</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234,287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714</w:t>
            </w: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596,352</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7,171</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2"/>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lease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3,971</w:t>
            </w:r>
          </w:p>
        </w:tc>
      </w:tr>
      <w:tr>
        <w:trPr>
          <w:trHeight w:val="30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Non-current lease liability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471,961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-2299335</wp:posOffset>
            </wp:positionV>
            <wp:extent cx="6324600" cy="2320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6">
                      <a:extLst>
                        <a:ext uri="{28A0092B-C50C-407E-A947-70E740481C1C}"/>
                      </a:extLst>
                    </a:blip>
                    <a:srcRect/>
                    <a:stretch>
                      <a:fillRect/>
                    </a:stretch>
                  </pic:blipFill>
                  <pic:spPr bwMode="auto">
                    <a:xfrm>
                      <a:off x="0" y="0"/>
                      <a:ext cx="6324600" cy="2320925"/>
                    </a:xfrm>
                    <a:prstGeom prst="rect">
                      <a:avLst/>
                    </a:prstGeom>
                    <a:noFill/>
                  </pic:spPr>
                </pic:pic>
              </a:graphicData>
            </a:graphic>
          </wp:anchor>
        </w:drawing>
      </w:r>
    </w:p>
    <w:p>
      <w:pPr>
        <w:spacing w:after="0" w:line="271"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As of December 31, 2024, the weighted-average remaining lease term for operating leases was 6.8 years and finance leases was 3.0 years. Because the Company generally does not have access to the rate implicit in the lease, the incremental borrowing rate is utilized as the discount rate. The weighted average discount rate associated with operating leases as of December 31, 2024 and 2023 was 10.3% and 10.1%, respectively. The weighted average discount rate associated with finance leases as of December 31, 2024 and 2023 was 5.2% and 8.2%, respectively.</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9. Financial instruments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Commodity risk management</w:t>
      </w:r>
    </w:p>
    <w:p>
      <w:pPr>
        <w:spacing w:after="0" w:line="254"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The Company has utilized commodity swap transactions to manage exposure to changes in market pricing of natural gas or LNG. Realized and unrealized gains and losses on these transactions have been recognized in Cost of sales in the Consolidated Statements of Operations and Comprehensive (Loss) Income.</w:t>
      </w:r>
    </w:p>
    <w:p>
      <w:pPr>
        <w:spacing w:after="0" w:line="195" w:lineRule="exact"/>
        <w:rPr>
          <w:sz w:val="20"/>
          <w:szCs w:val="20"/>
          <w:color w:val="auto"/>
        </w:rPr>
      </w:pPr>
    </w:p>
    <w:p>
      <w:pPr>
        <w:ind w:left="370" w:hanging="370"/>
        <w:spacing w:after="0" w:line="258" w:lineRule="auto"/>
        <w:tabs>
          <w:tab w:leader="none" w:pos="37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fourth quarter of 2022, the Company entered into a commodity swap transaction to swap market pricing exposure for approximately 6.8 TBtus for a fixed price of $40.55 per MMBtu. The swap settled during the first quarter of 2023 resulting in a gain of $41,315 recognized as a reduction to Cost of sales in the Consolidated Statements of Operations and Comprehensive (Loss) Income. The gain was comprised of a realized gain of $146,112 and the reversal of the unrealized gain of $104,797 recognized in the fourth quarter of 2022.</w:t>
      </w:r>
    </w:p>
    <w:p>
      <w:pPr>
        <w:spacing w:after="0" w:line="204" w:lineRule="exact"/>
        <w:rPr>
          <w:rFonts w:ascii="Times New Roman" w:cs="Times New Roman" w:eastAsia="Times New Roman" w:hAnsi="Times New Roman"/>
          <w:sz w:val="20"/>
          <w:szCs w:val="20"/>
          <w:color w:val="auto"/>
        </w:rPr>
      </w:pPr>
    </w:p>
    <w:p>
      <w:pPr>
        <w:ind w:left="370" w:right="80" w:hanging="370"/>
        <w:spacing w:after="0" w:line="266" w:lineRule="auto"/>
        <w:tabs>
          <w:tab w:leader="none" w:pos="370" w:val="left"/>
        </w:tabs>
        <w:numPr>
          <w:ilvl w:val="0"/>
          <w:numId w:val="7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 January 2023, the Company entered into a series of commodity swap transactions. Realized losses of $8,495 for the year ended December 31, 2023 on these instruments have been recognized in Cost of sales in the Consolidated Statements of Operations and Comprehensive (Loss) Income. All swaps were settled prior to December 31, 2023.</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Interest rate and currency risk management</w:t>
      </w:r>
    </w:p>
    <w:p>
      <w:pPr>
        <w:spacing w:after="0" w:line="254" w:lineRule="exact"/>
        <w:rPr>
          <w:sz w:val="20"/>
          <w:szCs w:val="20"/>
          <w:color w:val="auto"/>
        </w:rPr>
      </w:pPr>
    </w:p>
    <w:p>
      <w:pPr>
        <w:ind w:left="10" w:right="240"/>
        <w:spacing w:after="0" w:line="249" w:lineRule="auto"/>
        <w:rPr>
          <w:sz w:val="20"/>
          <w:szCs w:val="20"/>
          <w:color w:val="auto"/>
        </w:rPr>
      </w:pPr>
      <w:r>
        <w:rPr>
          <w:rFonts w:ascii="Times New Roman" w:cs="Times New Roman" w:eastAsia="Times New Roman" w:hAnsi="Times New Roman"/>
          <w:sz w:val="20"/>
          <w:szCs w:val="20"/>
          <w:color w:val="auto"/>
        </w:rPr>
        <w:t>During 2023, the Company entered into a non-deliverable forward to secure the currency position of the Barcarena Debentures (defined below) which is denominated in U.S. dollars. The forward was settled, and the Company recorded a realized gain of $5,864 for the year ended December 31, 2023.</w:t>
      </w:r>
    </w:p>
    <w:p>
      <w:pPr>
        <w:spacing w:after="0" w:line="196"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During 2024, the Company entered into a series of foreign exchange forward contracts and zero-cost collars to reduce exchange rate risk associated with U.S. dollar borrowings and expected capital expenditures. As of December 31, 2024, the notional amount of outstanding foreign exchange contracts was approximately $211,547. These instruments are expected to settle through the third quarter of 2026. The Company recognized unrealized gains, net of $22,085 for the year ended</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F-30</w:t>
      </w:r>
    </w:p>
    <w:p>
      <w:pPr>
        <w:sectPr>
          <w:pgSz w:w="12240" w:h="15840" w:orient="portrait"/>
          <w:cols w:equalWidth="0" w:num="1">
            <w:col w:w="9910"/>
          </w:cols>
          <w:pgMar w:left="1170" w:top="218" w:right="1160" w:bottom="0" w:gutter="0" w:footer="0" w:header="0"/>
          <w:type w:val="continuous"/>
        </w:sectPr>
      </w:pPr>
    </w:p>
    <w:bookmarkStart w:id="132" w:name="page133"/>
    <w:bookmarkEnd w:id="132"/>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480"/>
        <w:spacing w:after="0" w:line="281" w:lineRule="auto"/>
        <w:rPr>
          <w:sz w:val="20"/>
          <w:szCs w:val="20"/>
          <w:color w:val="auto"/>
        </w:rPr>
      </w:pPr>
      <w:r>
        <w:rPr>
          <w:rFonts w:ascii="Times New Roman" w:cs="Times New Roman" w:eastAsia="Times New Roman" w:hAnsi="Times New Roman"/>
          <w:sz w:val="20"/>
          <w:szCs w:val="20"/>
          <w:color w:val="auto"/>
        </w:rPr>
        <w:t>December 31, 2024 for these foreign currency contracts. The Company also recognized realized gains of $5,087 upon settlement of a portion of the foreign exchange contracts during the year ended December 31, 2024.</w:t>
      </w:r>
    </w:p>
    <w:p>
      <w:pPr>
        <w:spacing w:after="0" w:line="181"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20"/>
          <w:szCs w:val="20"/>
          <w:color w:val="auto"/>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95" w:lineRule="exact"/>
        <w:rPr>
          <w:sz w:val="20"/>
          <w:szCs w:val="20"/>
          <w:color w:val="auto"/>
        </w:rPr>
      </w:pPr>
    </w:p>
    <w:p>
      <w:pPr>
        <w:ind w:left="10" w:right="200"/>
        <w:spacing w:after="0" w:line="266" w:lineRule="auto"/>
        <w:rPr>
          <w:sz w:val="20"/>
          <w:szCs w:val="20"/>
          <w:color w:val="auto"/>
        </w:rPr>
      </w:pPr>
      <w:r>
        <w:rPr>
          <w:rFonts w:ascii="Times New Roman" w:cs="Times New Roman" w:eastAsia="Times New Roman" w:hAnsi="Times New Roman"/>
          <w:sz w:val="20"/>
          <w:szCs w:val="20"/>
          <w:color w:val="auto"/>
        </w:rPr>
        <w:t>The mark-to-market gain or loss on the interest rate swap, non-deliverable forward and other foreign exchange derivative instruments that are not intended to mitigate commodity risk are reported in Other expense (income), net in the Consolidated Statements of Operations and Comprehensive (Loss) Income.</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Embedded contingent interest derivative</w:t>
      </w:r>
    </w:p>
    <w:p>
      <w:pPr>
        <w:spacing w:after="0" w:line="254"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During 2024, the Company entered into a side letter with lenders in the Term Loan A Credit Agreement (defined below), under which the Company's interest on the Term Loan A (defined below) would increase by 2% if the lenders demand that the Company pursue a refinancing of the Term Loan A and the Company is not able to successfully refinance. This contingent interest feature meets the definition of a derivative and requires bifurcation from the debt host contract. Changes to the fair value of this derivative are recognized within Interest expense, net in the Consolidated Statements of Operations and Comprehensive (Loss) Income.</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Fair value</w:t>
      </w:r>
    </w:p>
    <w:p>
      <w:pPr>
        <w:spacing w:after="0" w:line="254" w:lineRule="exact"/>
        <w:rPr>
          <w:sz w:val="20"/>
          <w:szCs w:val="20"/>
          <w:color w:val="auto"/>
        </w:rPr>
      </w:pPr>
    </w:p>
    <w:p>
      <w:pPr>
        <w:ind w:left="10" w:right="260"/>
        <w:spacing w:after="0" w:line="281" w:lineRule="auto"/>
        <w:rPr>
          <w:sz w:val="20"/>
          <w:szCs w:val="20"/>
          <w:color w:val="auto"/>
        </w:rPr>
      </w:pPr>
      <w:r>
        <w:rPr>
          <w:rFonts w:ascii="Times New Roman" w:cs="Times New Roman" w:eastAsia="Times New Roman" w:hAnsi="Times New Roman"/>
          <w:sz w:val="20"/>
          <w:szCs w:val="20"/>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81" w:lineRule="exact"/>
        <w:rPr>
          <w:sz w:val="20"/>
          <w:szCs w:val="20"/>
          <w:color w:val="auto"/>
        </w:rPr>
      </w:pPr>
    </w:p>
    <w:p>
      <w:pPr>
        <w:ind w:left="370" w:hanging="370"/>
        <w:spacing w:after="0"/>
        <w:tabs>
          <w:tab w:leader="none" w:pos="37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observable inputs such as quoted prices in active markets for identical assets or liabilities.</w:t>
      </w:r>
    </w:p>
    <w:p>
      <w:pPr>
        <w:spacing w:after="0" w:line="250" w:lineRule="exact"/>
        <w:rPr>
          <w:rFonts w:ascii="Times New Roman" w:cs="Times New Roman" w:eastAsia="Times New Roman" w:hAnsi="Times New Roman"/>
          <w:sz w:val="20"/>
          <w:szCs w:val="20"/>
          <w:color w:val="auto"/>
        </w:rPr>
      </w:pPr>
    </w:p>
    <w:p>
      <w:pPr>
        <w:ind w:left="370" w:right="40" w:hanging="370"/>
        <w:spacing w:after="0" w:line="281" w:lineRule="auto"/>
        <w:tabs>
          <w:tab w:leader="none" w:pos="37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either directly or indirectly, such as quoted prices for similar assets or liabilities or market corroborated inputs.</w:t>
      </w:r>
    </w:p>
    <w:p>
      <w:pPr>
        <w:spacing w:after="0" w:line="181" w:lineRule="exact"/>
        <w:rPr>
          <w:rFonts w:ascii="Times New Roman" w:cs="Times New Roman" w:eastAsia="Times New Roman" w:hAnsi="Times New Roman"/>
          <w:sz w:val="20"/>
          <w:szCs w:val="20"/>
          <w:color w:val="auto"/>
        </w:rPr>
      </w:pPr>
    </w:p>
    <w:p>
      <w:pPr>
        <w:ind w:left="370" w:right="60" w:hanging="370"/>
        <w:spacing w:after="0" w:line="281" w:lineRule="auto"/>
        <w:tabs>
          <w:tab w:leader="none" w:pos="37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unobservable inputs for which there is little or no market data and which require the Company to develop its own assumptions about how market participants price the asset or liability.</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valuation techniques that may be used to measure fair value are as follows:</w:t>
      </w:r>
    </w:p>
    <w:p>
      <w:pPr>
        <w:spacing w:after="0" w:line="250" w:lineRule="exact"/>
        <w:rPr>
          <w:sz w:val="20"/>
          <w:szCs w:val="20"/>
          <w:color w:val="auto"/>
        </w:rPr>
      </w:pPr>
    </w:p>
    <w:p>
      <w:pPr>
        <w:ind w:left="370" w:right="160" w:hanging="370"/>
        <w:spacing w:after="0" w:line="281" w:lineRule="auto"/>
        <w:tabs>
          <w:tab w:leader="none" w:pos="3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approach – uses prices and other relevant information generated by market transactions involving identical or comparable assets or liabilities.</w:t>
      </w:r>
    </w:p>
    <w:p>
      <w:pPr>
        <w:spacing w:after="0" w:line="181"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approach – uses valuation techniques, such as the discounted cash flow technique, to convert future amounts to a single present amount based on current market expectations about those future amounts.</w:t>
      </w:r>
    </w:p>
    <w:p>
      <w:pPr>
        <w:spacing w:after="0" w:line="181" w:lineRule="exact"/>
        <w:rPr>
          <w:rFonts w:ascii="Times New Roman" w:cs="Times New Roman" w:eastAsia="Times New Roman" w:hAnsi="Times New Roman"/>
          <w:sz w:val="20"/>
          <w:szCs w:val="20"/>
          <w:color w:val="auto"/>
        </w:rPr>
      </w:pPr>
    </w:p>
    <w:p>
      <w:pPr>
        <w:ind w:left="370" w:right="440" w:hanging="370"/>
        <w:spacing w:after="0" w:line="281" w:lineRule="auto"/>
        <w:tabs>
          <w:tab w:leader="none" w:pos="3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approach – based on the amount that currently would be necessary to replace the service capacity of an asset (replacement cost).</w:t>
      </w:r>
    </w:p>
    <w:p>
      <w:pPr>
        <w:spacing w:after="0" w:line="205" w:lineRule="exact"/>
        <w:rPr>
          <w:sz w:val="20"/>
          <w:szCs w:val="20"/>
          <w:color w:val="auto"/>
        </w:rPr>
      </w:pPr>
    </w:p>
    <w:p>
      <w:pPr>
        <w:ind w:left="10" w:right="440"/>
        <w:spacing w:after="0" w:line="266" w:lineRule="auto"/>
        <w:rPr>
          <w:sz w:val="20"/>
          <w:szCs w:val="20"/>
          <w:color w:val="auto"/>
        </w:rPr>
      </w:pPr>
      <w:r>
        <w:rPr>
          <w:rFonts w:ascii="Times New Roman" w:cs="Times New Roman" w:eastAsia="Times New Roman" w:hAnsi="Times New Roman"/>
          <w:sz w:val="20"/>
          <w:szCs w:val="20"/>
          <w:color w:val="auto"/>
        </w:rPr>
        <w:t>The Company uses the market approach when valuing investment in equity securities and foreign exchange forward contracts which are recorded in Prepaid expenses and other current assets, net, Other non-current assets, net and Other current liabilities on the Consolidated Balance Sheets as of December 31, 2024 and 2023.</w:t>
      </w:r>
    </w:p>
    <w:p>
      <w:pPr>
        <w:spacing w:after="0" w:line="195" w:lineRule="exact"/>
        <w:rPr>
          <w:sz w:val="20"/>
          <w:szCs w:val="20"/>
          <w:color w:val="auto"/>
        </w:rPr>
      </w:pPr>
    </w:p>
    <w:p>
      <w:pPr>
        <w:ind w:left="10" w:right="60"/>
        <w:spacing w:after="0" w:line="256" w:lineRule="auto"/>
        <w:rPr>
          <w:sz w:val="20"/>
          <w:szCs w:val="20"/>
          <w:color w:val="auto"/>
        </w:rPr>
      </w:pPr>
      <w:r>
        <w:rPr>
          <w:rFonts w:ascii="Times New Roman" w:cs="Times New Roman" w:eastAsia="Times New Roman" w:hAnsi="Times New Roman"/>
          <w:sz w:val="20"/>
          <w:szCs w:val="20"/>
          <w:color w:val="auto"/>
        </w:rPr>
        <w:t>The Company uses the income approach for valuing the contingent consideration derivative liabilities and embedded contingent interest derivative. The contingent consideration derivative liabilities represent consideration due to the sellers in asset acquisitions when certain contingent events occur and are recorded within Other current liabilities and Other long-term liabilities based on the timing of expected settlement. The embedded contingent interest derivative represents incremental interest payments due to the lenders when certain contingent events occur and is recorded within Other current liabilities and Other long-term liabilities based on the timing of expected payments.</w:t>
      </w:r>
    </w:p>
    <w:p>
      <w:pPr>
        <w:spacing w:after="0" w:line="208" w:lineRule="exact"/>
        <w:rPr>
          <w:sz w:val="20"/>
          <w:szCs w:val="20"/>
          <w:color w:val="auto"/>
        </w:rPr>
      </w:pPr>
    </w:p>
    <w:p>
      <w:pPr>
        <w:ind w:left="10" w:right="360"/>
        <w:spacing w:after="0" w:line="286" w:lineRule="auto"/>
        <w:rPr>
          <w:sz w:val="20"/>
          <w:szCs w:val="20"/>
          <w:color w:val="auto"/>
        </w:rPr>
      </w:pPr>
      <w:r>
        <w:rPr>
          <w:rFonts w:ascii="Times New Roman" w:cs="Times New Roman" w:eastAsia="Times New Roman" w:hAnsi="Times New Roman"/>
          <w:sz w:val="19"/>
          <w:szCs w:val="19"/>
          <w:color w:val="auto"/>
        </w:rPr>
        <w:t>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F-31</w:t>
      </w:r>
    </w:p>
    <w:p>
      <w:pPr>
        <w:sectPr>
          <w:pgSz w:w="12240" w:h="15840" w:orient="portrait"/>
          <w:cols w:equalWidth="0" w:num="1">
            <w:col w:w="9890"/>
          </w:cols>
          <w:pgMar w:left="1170" w:top="218" w:right="118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curve for bonds with similar credit ratings and matching terms to the discount periods as well as a probability of the contingent events occurring. The Company estimates fair value of the embedded contingent interest derivative using a discounted cash flows method with discount rate based on the effective interest rate for the debt host instrument as well as a probability of the contingent events occurring.</w:t>
      </w:r>
    </w:p>
    <w:p>
      <w:pPr>
        <w:spacing w:after="0" w:line="20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Company’s financial assets and financial liabilities, including those that are measured at fair value,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141605</wp:posOffset>
            </wp:positionV>
            <wp:extent cx="6311900" cy="3225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7">
                      <a:extLst>
                        <a:ext uri="{28A0092B-C50C-407E-A947-70E740481C1C}"/>
                      </a:extLst>
                    </a:blip>
                    <a:srcRect/>
                    <a:stretch>
                      <a:fillRect/>
                    </a:stretch>
                  </pic:blipFill>
                  <pic:spPr bwMode="auto">
                    <a:xfrm>
                      <a:off x="0" y="0"/>
                      <a:ext cx="6311900" cy="3225800"/>
                    </a:xfrm>
                    <a:prstGeom prst="rect">
                      <a:avLst/>
                    </a:prstGeom>
                    <a:noFill/>
                  </pic:spPr>
                </pic:pic>
              </a:graphicData>
            </a:graphic>
          </wp:anchor>
        </w:drawing>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4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8,678</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22,055</w:t>
            </w:r>
          </w:p>
        </w:tc>
      </w:tr>
      <w:tr>
        <w:trPr>
          <w:trHeight w:val="600"/>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41,984</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Embedded contingent interest derivative</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10,629</w:t>
            </w:r>
          </w:p>
        </w:tc>
      </w:tr>
      <w:tr>
        <w:trPr>
          <w:trHeight w:val="600"/>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7,678</w:t>
            </w:r>
          </w:p>
        </w:tc>
      </w:tr>
      <w:tr>
        <w:trPr>
          <w:trHeight w:val="6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37,832</w:t>
            </w:r>
          </w:p>
        </w:tc>
      </w:tr>
    </w:tbl>
    <w:p>
      <w:pPr>
        <w:spacing w:after="0" w:line="29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20"/>
          <w:szCs w:val="20"/>
          <w:color w:val="auto"/>
        </w:rPr>
        <w:t>The Company believes the carrying amounts of cash and cash equivalents, accounts receivable and accounts payable approximated their fair value as of December 31, 2024 and 2023 and are classified as Level 1 within the fair value hierarchy.</w:t>
      </w:r>
    </w:p>
    <w:p>
      <w:pPr>
        <w:spacing w:after="0" w:line="19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table below summarizes the fair value adjustment to instruments measured at Level 3 in the fair value hierarchy. The adjustments to contingent consideration derivative liabilities and embedded contingent interest derivative for the years ended December 31, 2024, 2023 and 2022 are shown below:</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212"/>
        </w:trPr>
        <w:tc>
          <w:tcPr>
            <w:tcW w:w="58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Contingent consideration derivative liabilities - Fair value adjustment -</w:t>
            </w: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(1,959)</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(4,801)</w:t>
            </w: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(gain) loss</w:t>
            </w:r>
          </w:p>
        </w:tc>
        <w:tc>
          <w:tcPr>
            <w:tcW w:w="3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Embedded contingent interest derivative - Fair value adjustment - loss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-508635</wp:posOffset>
            </wp:positionV>
            <wp:extent cx="6311900" cy="530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8">
                      <a:extLst>
                        <a:ext uri="{28A0092B-C50C-407E-A947-70E740481C1C}"/>
                      </a:extLst>
                    </a:blip>
                    <a:srcRect/>
                    <a:stretch>
                      <a:fillRect/>
                    </a:stretch>
                  </pic:blipFill>
                  <pic:spPr bwMode="auto">
                    <a:xfrm>
                      <a:off x="0" y="0"/>
                      <a:ext cx="6311900" cy="530225"/>
                    </a:xfrm>
                    <a:prstGeom prst="rect">
                      <a:avLst/>
                    </a:prstGeom>
                    <a:noFill/>
                  </pic:spPr>
                </pic:pic>
              </a:graphicData>
            </a:graphic>
          </wp:anchor>
        </w:drawing>
      </w:r>
    </w:p>
    <w:p>
      <w:pPr>
        <w:spacing w:after="0" w:line="27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had no transfers in or out of Level 3 in the fair value hierarchy. During the first quarter of 2024, the Company sold substantially all of its investment in Energos; this investment had been accounted for as an equity method investment (Note 13). The Company retained an investment in Energos valued at $1,000, which is shown as a Level 3 investment in equity securities in the table above.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F-32</w:t>
      </w:r>
    </w:p>
    <w:p>
      <w:pPr>
        <w:sectPr>
          <w:pgSz w:w="12240" w:h="15840" w:orient="portrait"/>
          <w:cols w:equalWidth="0" w:num="1">
            <w:col w:w="9900"/>
          </w:cols>
          <w:pgMar w:left="1180" w:top="218" w:right="116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84"/>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81"/>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10. Restricted cash</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2024 and 2023, restricted cash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1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11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restricted under the terms of loan agreements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422,098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102,079</w:t>
            </w: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Collateral for letters of credit and performance bonds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53,321</w:t>
            </w:r>
          </w:p>
        </w:tc>
      </w:tr>
      <w:tr>
        <w:trPr>
          <w:trHeight w:val="26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restricted cash</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472,696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155,400</w:t>
            </w:r>
          </w:p>
        </w:tc>
      </w:tr>
      <w:tr>
        <w:trPr>
          <w:trHeight w:val="20"/>
        </w:trPr>
        <w:tc>
          <w:tcPr>
            <w:tcW w:w="11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9">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Uses of cash proceeds under the BNDES Term Loan, Barcarena Debentures and PortoCem Debentures (see Note 20) are restricted to certain payments to construct the Company's power plants in Brazil.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 Inventory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2024 and 2023, inventory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72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LNG and natural gas inventory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67,232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75,417</w:t>
            </w: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Automotive diesel oil inventory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10,121</w:t>
            </w: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Bunker fuel, materials, supplies and 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28,146</w:t>
            </w:r>
          </w:p>
        </w:tc>
      </w:tr>
      <w:tr>
        <w:trPr>
          <w:trHeight w:val="260"/>
        </w:trPr>
        <w:tc>
          <w:tcPr>
            <w:tcW w:w="7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inventory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103,224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113,684</w:t>
            </w:r>
          </w:p>
        </w:tc>
      </w:tr>
      <w:tr>
        <w:trPr>
          <w:trHeight w:val="20"/>
        </w:trPr>
        <w:tc>
          <w:tcPr>
            <w:tcW w:w="7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0">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Inventory is adjusted to the lower of cost or net realizable value each quarter. Changes in the value of inventory are recorded within Cost of sales in the Consolidated Statements of Operations and Comprehensive (Loss) Income. The Company recognized an adjustment to inventory of $6,232 during the year ended December 31, 2023. In the second quarter of 2023, the Company acquired a spot cargo at a higher cost to obtain a new customer contract (Note 29), and the net realizable value of this cargo was below the cost. No inventory adjustments were recognized during the years ended December 31, 2024 or December 31,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Prepaid expenses and other current assets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2023, prepaid expenses and other current assets consisted of the following:</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Recoverable taxes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80,630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(Note 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Due from affiliates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Assets held for 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21,265</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69,439</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prepaid expenses and other current assets,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205,496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213,104</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1">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 xml:space="preserve">During 2023, the Company began to sub-charter the </w:t>
      </w:r>
      <w:r>
        <w:rPr>
          <w:rFonts w:ascii="Times New Roman" w:cs="Times New Roman" w:eastAsia="Times New Roman" w:hAnsi="Times New Roman"/>
          <w:sz w:val="20"/>
          <w:szCs w:val="20"/>
          <w:b w:val="1"/>
          <w:bCs w:val="1"/>
          <w:i w:val="1"/>
          <w:iCs w:val="1"/>
          <w:color w:val="auto"/>
        </w:rPr>
        <w:t>Winter</w:t>
      </w:r>
      <w:r>
        <w:rPr>
          <w:rFonts w:ascii="Times New Roman" w:cs="Times New Roman" w:eastAsia="Times New Roman" w:hAnsi="Times New Roman"/>
          <w:sz w:val="20"/>
          <w:szCs w:val="20"/>
          <w:color w:val="auto"/>
        </w:rPr>
        <w:t>, a vessel included in the Energos Formation Transaction, and an asset was recorded representing the existing charterer's remaining payments to Energos, which was $59,074 as of December 31, 2023. The Company also recognized a liability of $49,400 as of December 31, 2023 (see Note 19) representing the Company's obligation to pay sub-charter payments until the vessel is chartered directly from Energos. The sub-charter was terminated during the third quarter of 2024, and the Company derecognized both the sub-charter asset and liability.</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ectPr>
          <w:pgSz w:w="12240" w:h="15840" w:orient="portrait"/>
          <w:cols w:equalWidth="0" w:num="1">
            <w:col w:w="9900"/>
          </w:cols>
          <w:pgMar w:left="1180" w:top="210" w:right="116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The remaining balance of other current assets as of December 31, 2024 and 2023 primarily consists of derivative assets recognized for foreign currency exchange contracts (Note 9) and deposits.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held for sale</w:t>
      </w:r>
    </w:p>
    <w:p>
      <w:pPr>
        <w:spacing w:after="0" w:line="2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 xml:space="preserve">In December 2023, the Company entered into an agreement to sell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for $22,400; and as such, the vessel was classified as held for sale as of December 31, 2023. In conjunction with the classification to held for sale, the Company recognized an impairment of $10,958 within Asset impairment expense in the Consolidated Statements of Operations and Comprehensive (Loss) Income. Nonrecurring, Level 2 inputs were used to estimate the fair value of the vessel for the purpose of recognizing the impairment. The sale closed in 2024, resulting in a gain of $392.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13. Equity method investments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Changes in the balance of the Company’s equity method investments are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72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method investments as of beginning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137,793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392,306</w:t>
            </w: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contributions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w:t>
            </w: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(5,830)</w:t>
            </w: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in earnings of investees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15,249</w:t>
            </w: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Other-than-temporary impairment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(5,277)</w:t>
            </w: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Sale of equity method investments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(144,587)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(260,156)</w:t>
            </w:r>
          </w:p>
        </w:tc>
      </w:tr>
      <w:tr>
        <w:trPr>
          <w:trHeight w:val="26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method investments as of end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137,793</w:t>
            </w:r>
          </w:p>
        </w:tc>
      </w:tr>
      <w:tr>
        <w:trPr>
          <w:trHeight w:val="20"/>
        </w:trPr>
        <w:tc>
          <w:tcPr>
            <w:tcW w:w="7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2">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8"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At December 31, 2023, the carrying value of the Company’s equity method investments was less than its proportionate share of the underlying net assets of its investees by $5,277.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Energos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In August 2022, the Company completed a transaction with an affiliate of Apollo Global Management, Inc., pursuant to which the Company transferred ownership of 11 vessels to Energos Infrastructure ("Energos") in exchange for approximately $1.85 billion in cash and a 20% equity interest in Energos (the “Energos Formation Transaction”). 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w:t>
      </w:r>
    </w:p>
    <w:p>
      <w:pPr>
        <w:spacing w:after="0" w:line="2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In February 2024, the Company sold substantially all of its stake in Energos. As a result of the transaction, the Company has recognized an other than temporary impairment ("OTTI") of the investment in Energos totaling $5,277 for the year ended December 31, 2023, and this loss was recognized in Income (loss) from equity method investments in the Consolidated Statements of Operations and Comprehensive (Loss) Income. Nonrecurring, Level 2 inputs were used to estimate the fair value of the investment for the purpose of recognizing the OTTI. The sale was completed on February 14, 2024 and the Company received proceeds of $136,365, resulting in a loss of $7,222 presented within Other expense (income), net in the Consolidated Statements of Operations and Comprehensive (Loss) Income. The Company retained an investment in Energos valued at $1,000, which has been recognized within Other non-current assets. Following the disposition of substantially all of the stake in Energos, the Company no longer has significant influence over Energos.</w:t>
      </w:r>
    </w:p>
    <w:p>
      <w:pPr>
        <w:spacing w:after="0" w:line="20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Due to the timing and availability of financial information of Energos, the Company recognized its proportional share of the income or loss from the equity method investment on a financial reporting lag of one fiscal quarter. For the years ended December 31, 2023 and 2022, the Company has recognized earnings from Energos of $9,263 and $2,788, respectively. There were no earnings from Energos for the year ended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Hilli LLC</w:t>
      </w:r>
    </w:p>
    <w:p>
      <w:pPr>
        <w:spacing w:after="0" w:line="254"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19"/>
          <w:szCs w:val="19"/>
          <w:color w:val="auto"/>
        </w:rPr>
        <w:t>On March 15, 2023, the Company completed a transaction with Golar LNG Limited ("GLNG") for the sale of the Company's investment in the common units of Hilli LLC in exchange for approximately 4.1 million NFE shares and</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F-34</w:t>
      </w:r>
    </w:p>
    <w:p>
      <w:pPr>
        <w:sectPr>
          <w:pgSz w:w="12240" w:h="15840" w:orient="portrait"/>
          <w:cols w:equalWidth="0" w:num="1">
            <w:col w:w="9900"/>
          </w:cols>
          <w:pgMar w:left="1180" w:top="218" w:right="116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 xml:space="preserve">$100,000 in cash (the "Hilli Exchange"). In the fourth quarter of 2022, the Company recognized an OTTI on the investment in Hilli LLC of $118,558; this impairment was recognized in Income (loss) from equity method investments in the Consolidated Statements of Operations and Comprehensive (Loss) Income. Upon completion of the Hilli Exchange, a loss on disposal of $37,401 was recognized in Other expense (income), net in the Consolidated Statements of Operations and Comprehensive (Loss) Income. As a result of the Hilli Exchange, the Company no longer has an ownership interest in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NFE shares received from GLNG were cancelled upon closing of the Hilli Exchange.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Construction in progress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construction in progress activity during the years ended December 31, 2024 and 2023 is detailed below:</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as of beginning of period</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5,348,294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2,418,608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2,247,592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3,438,895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Impact of currency translation adjustment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(196,854)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30,989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Assets placed in service</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(3,824,643)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(540,198)</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as of end of period</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3,574,389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5,348,294</w:t>
            </w:r>
          </w:p>
        </w:tc>
      </w:tr>
      <w:tr>
        <w:trPr>
          <w:trHeight w:val="20"/>
        </w:trPr>
        <w:tc>
          <w:tcPr>
            <w:tcW w:w="7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3">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Interest expense of $486,396, $295,809 and $94,454, inclusive of amortized debt issuance costs, was capitalized for the years ended December 31, 2024, 2023 and 2022, respectively. Recoverable taxes of $45,996 were capitalized for the year ended December 31, 2024 and represents non-cash addition to Construction in progress.</w:t>
      </w:r>
    </w:p>
    <w:p>
      <w:pPr>
        <w:spacing w:after="0" w:line="19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The Company's first Fast LNG project was placed into service for accounting purposes in the fourth quarter of 2024, and $3,573,382 was transferred to Property, plant and equipment, net. Assets placed in service during 2024 also include the Company's LNG receiving facility located on the southern coast of Brazil (the “Santa Catarina Facility”).</w:t>
      </w:r>
    </w:p>
    <w:p>
      <w:pPr>
        <w:spacing w:after="0" w:line="19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auto"/>
        </w:rPr>
        <w:t>The Company has significant development activities in Latin America. The successful completion of these development projects is subject to various risks, such as obtaining government approvals, identifying suitable sites, securing financing and permitting, and ensuring contract compliance.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Property, plant and equipment, net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2023, the Company’s property, plant and equipment, net consisted of the following:</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LNG liquefaction facilities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3,316,504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63,316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Vessels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1,575,299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1,494,433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Terminal and power plant equipment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630,822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668,927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Gas pipelines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66,319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Power facilities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283,470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273,978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ISO containers and other equipment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97,984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54,324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139,967</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(455,009)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(377,833)</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property, plant and equipment, net</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5,842,807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2,481,415</w:t>
            </w: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-1936115</wp:posOffset>
            </wp:positionV>
            <wp:extent cx="6324600" cy="1955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4">
                      <a:extLst>
                        <a:ext uri="{28A0092B-C50C-407E-A947-70E740481C1C}"/>
                      </a:extLst>
                    </a:blip>
                    <a:srcRect/>
                    <a:stretch>
                      <a:fillRect/>
                    </a:stretch>
                  </pic:blipFill>
                  <pic:spPr bwMode="auto">
                    <a:xfrm>
                      <a:off x="0" y="0"/>
                      <a:ext cx="6324600" cy="1955800"/>
                    </a:xfrm>
                    <a:prstGeom prst="rect">
                      <a:avLst/>
                    </a:prstGeom>
                    <a:noFill/>
                  </pic:spPr>
                </pic:pic>
              </a:graphicData>
            </a:graphic>
          </wp:anchor>
        </w:drawing>
      </w:r>
    </w:p>
    <w:p>
      <w:pPr>
        <w:spacing w:after="0" w:line="22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20"/>
          <w:szCs w:val="20"/>
          <w:color w:val="auto"/>
        </w:rPr>
        <w:t>LNG liquefaction facilities includes the Company's first Fast LNG project, which was placed into service in the fourth quarter of 2024.</w:t>
      </w:r>
    </w:p>
    <w:p>
      <w:pPr>
        <w:spacing w:after="0" w:line="18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The book value of the vessels that was recognized due to the failed sale leaseback in the Energos Formation Transaction as of December 31, 2024 and 2023 was $1,272,334 and $1,293,384, respectively.</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F-35</w:t>
      </w:r>
    </w:p>
    <w:p>
      <w:pPr>
        <w:sectPr>
          <w:pgSz w:w="12240" w:h="15840" w:orient="portrait"/>
          <w:cols w:equalWidth="0" w:num="1">
            <w:col w:w="9900"/>
          </w:cols>
          <w:pgMar w:left="1180" w:top="218" w:right="116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20"/>
          <w:szCs w:val="20"/>
          <w:color w:val="auto"/>
        </w:rPr>
        <w:t>Depreciation expense for the years ended December 31, 2024, 2023 and 2022 totaled $144,166, $141,069 and $104,823, respectively, of which $511, $905 and $954, respectively, is included within Cost of sales in the Consolidated Statements of Operations and Comprehensive (Loss)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Goodwill and intangible assets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4"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20"/>
          <w:szCs w:val="20"/>
          <w:color w:val="auto"/>
        </w:rPr>
        <w:t>The Company allocated $10,410 of goodwill from the Terminal and Infrastructure Reporting unit to the sale of the Miami Facility disposal group during the year ended December 31, 2024 on a relative fair value basis. As of December 31, 2024 and December 31, 2023, the carrying amount of goodwill within the Terminals and Infrastructure reporting unit and Ships reporting unit was $750,412 and $15,938, and $760,822 and $15,938, respectively.</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The Company performed a quantitative analysis as of October 1, 2024 and a qualitative analysis as of October 1, 2023. The Company concluded that the fair value of each reporting unit was greater than the carrying amount for both periods, and no goodwill impairment charges were recognized during the years ended December 31, 2024 and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composition of intangible assets as of December 31, 2024 and 2023:</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0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Pr>
          <w:p>
            <w:pPr>
              <w:spacing w:after="0"/>
              <w:rPr>
                <w:sz w:val="19"/>
                <w:szCs w:val="19"/>
                <w:color w:val="auto"/>
              </w:rPr>
            </w:pP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Translation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Acquired capacity reserve contract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162,045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Favorable vessel charter contracts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 and development rights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61,894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585"/>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1,103</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244,385</w:t>
            </w:r>
          </w:p>
        </w:tc>
        <w:tc>
          <w:tcPr>
            <w:tcW w:w="60" w:type="dxa"/>
            <w:vAlign w:val="bottom"/>
          </w:tcPr>
          <w:p>
            <w:pPr>
              <w:spacing w:after="0"/>
              <w:rPr>
                <w:sz w:val="22"/>
                <w:szCs w:val="22"/>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(27,693)</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(37,182)</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179,510</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Pr>
          <w:p>
            <w:pPr>
              <w:spacing w:after="0"/>
              <w:rPr>
                <w:sz w:val="19"/>
                <w:szCs w:val="19"/>
                <w:color w:val="auto"/>
              </w:rPr>
            </w:pP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Translation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Favorable vessel charter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 and development rights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48,217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600"/>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68,663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51,815</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-3904615</wp:posOffset>
            </wp:positionV>
            <wp:extent cx="6311900" cy="1565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5">
                      <a:extLst>
                        <a:ext uri="{28A0092B-C50C-407E-A947-70E740481C1C}"/>
                      </a:extLst>
                    </a:blip>
                    <a:srcRect/>
                    <a:stretch>
                      <a:fillRect/>
                    </a:stretch>
                  </pic:blipFill>
                  <pic:spPr bwMode="auto">
                    <a:xfrm>
                      <a:off x="0" y="0"/>
                      <a:ext cx="6311900" cy="15652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8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6">
                      <a:extLst>
                        <a:ext uri="{28A0092B-C50C-407E-A947-70E740481C1C}"/>
                      </a:extLst>
                    </a:blip>
                    <a:srcRect/>
                    <a:stretch>
                      <a:fillRect/>
                    </a:stretch>
                  </pic:blipFill>
                  <pic:spPr bwMode="auto">
                    <a:xfrm>
                      <a:off x="0" y="0"/>
                      <a:ext cx="6311900" cy="1384300"/>
                    </a:xfrm>
                    <a:prstGeom prst="rect">
                      <a:avLst/>
                    </a:prstGeom>
                    <a:noFill/>
                  </pic:spPr>
                </pic:pic>
              </a:graphicData>
            </a:graphic>
          </wp:anchor>
        </w:drawing>
      </w:r>
    </w:p>
    <w:p>
      <w:pPr>
        <w:spacing w:after="0" w:line="228"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As of December 31, 2024 and 2023, the weighted-average remaining amortization periods for the intangible assets were 19.7 and 28.8 years, respectively. Amortization expense for the years ended December 31, 2024, 2023, and 2022 was $12,227, $26,853, and $37,162, respectively which were inclusive of reductions in expense for the amortization of unfavorable contract liabilities.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F-36</w:t>
      </w:r>
    </w:p>
    <w:p>
      <w:pPr>
        <w:sectPr>
          <w:pgSz w:w="12240" w:h="15840" w:orient="portrait"/>
          <w:cols w:equalWidth="0" w:num="1">
            <w:col w:w="9900"/>
          </w:cols>
          <w:pgMar w:left="1180" w:top="218" w:right="116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certain favorable vessel charter contract intangibles with a gross carrying amount of $88,000 became fully amortized, and the gross carrying amount and accumulated amortization have been written-off. Additionally, a vessel charter contract was terminated during 2023, and the net book value of the intangible asset on the date of termination of $9,553 was recognized as an impairment in the Consolidated Statements of Operations and Comprehensive (Loss) Income.</w:t>
      </w:r>
    </w:p>
    <w:p>
      <w:pPr>
        <w:spacing w:after="0" w:line="2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In the third quarter of 2023, An Bord Pleanála ("ABP"), Ireland's planning commission, denied the Company's application for the development of an LNG terminal and power plant in Shannon, Ireland. The Company challenged this decision, and in September 2024, the High Court of Ireland ruled that ABP did not have appropriate grounds for the denial of the permit. In November, ABP sought leave to appeal the High Court's decision, the High Court has not yet heard the request to leave appeal. If the leave is not granted, then ABP will be directed to reconsider our permit application on accordance with Irish Law. The continued development of this project is uncertain and there are multiple risks, including regulatory risks, that could preclude the development of this project, and the results of these risks could have a material effect to the Company's 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The estimated aggregate amortization expense for each of the next five years is: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12,312</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9,553</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9,553</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9,553</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9,553</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127,883</w:t>
            </w:r>
          </w:p>
        </w:tc>
        <w:tc>
          <w:tcPr>
            <w:tcW w:w="0" w:type="dxa"/>
            <w:vAlign w:val="bottom"/>
          </w:tcPr>
          <w:p>
            <w:pPr>
              <w:spacing w:after="0"/>
              <w:rPr>
                <w:sz w:val="1"/>
                <w:szCs w:val="1"/>
                <w:color w:val="auto"/>
              </w:rPr>
            </w:pPr>
          </w:p>
        </w:tc>
      </w:tr>
      <w:tr>
        <w:trPr>
          <w:trHeight w:val="26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178,407</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17. Other non-current assets, net</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2024 and 2023, Other non-current assets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722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 term receivables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114,677</w:t>
            </w:r>
          </w:p>
        </w:tc>
        <w:tc>
          <w:tcPr>
            <w:tcW w:w="6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asset, net (Note 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19,901</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to fulfill (Note 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22,418</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Financing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11,923</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59,792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72,661</w:t>
            </w:r>
          </w:p>
        </w:tc>
        <w:tc>
          <w:tcPr>
            <w:tcW w:w="0" w:type="dxa"/>
            <w:vAlign w:val="bottom"/>
          </w:tcPr>
          <w:p>
            <w:pPr>
              <w:spacing w:after="0"/>
              <w:rPr>
                <w:sz w:val="1"/>
                <w:szCs w:val="1"/>
                <w:color w:val="auto"/>
              </w:rPr>
            </w:pPr>
          </w:p>
        </w:tc>
      </w:tr>
      <w:tr>
        <w:trPr>
          <w:trHeight w:val="260"/>
        </w:trPr>
        <w:tc>
          <w:tcPr>
            <w:tcW w:w="7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other non-current assets</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272,899</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126,903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-3647440</wp:posOffset>
            </wp:positionV>
            <wp:extent cx="6324600" cy="138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7">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-1174115</wp:posOffset>
            </wp:positionV>
            <wp:extent cx="6324600" cy="1193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8">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2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In the fourth quarter of 2024, the Company novated an LNG supply contact to a customer (Note 7). In conjunction with this novation, the Company agreed to guarantee the performance of the LNG supplier (Note 21). In exchange for this guarantee, the Company will receive payments totaling $126,668 from the counterparty. These payments will be made between the third quarter of 2026 through the first quarter of 2028, and the discounted value of the payment stream of $114,677 has been recorded as a long-term receivable.</w:t>
      </w:r>
    </w:p>
    <w:p>
      <w:pPr>
        <w:spacing w:after="0" w:line="2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Financing costs includes deferred costs associated with the Company's Revolving Facility and the undrawn portion of the Term Loan A (both defined below). Other non-current assets includes the development costs for hosted software products, foreign exchange contracts and investments in equity securities, which includes investments without a readily determinable fair value of $8,678 and $7,678 as of December 31, 2024 and 2023, respectively. The Company has not recognized any gains or losses in the value of these investments during 2024.</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F-37</w:t>
      </w:r>
    </w:p>
    <w:p>
      <w:pPr>
        <w:sectPr>
          <w:pgSz w:w="12240" w:h="15840" w:orient="portrait"/>
          <w:cols w:equalWidth="0" w:num="1">
            <w:col w:w="9900"/>
          </w:cols>
          <w:pgMar w:left="1180" w:top="218" w:right="1160" w:bottom="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84"/>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18. Accrued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2024 and 2023, Accrued liabilities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development costs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113,193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286,030</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interest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82,507</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inventory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4,855</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bonuses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41,356</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accrued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62,866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56,927</w:t>
            </w:r>
          </w:p>
        </w:tc>
        <w:tc>
          <w:tcPr>
            <w:tcW w:w="0" w:type="dxa"/>
            <w:vAlign w:val="bottom"/>
          </w:tcPr>
          <w:p>
            <w:pPr>
              <w:spacing w:after="0"/>
              <w:rPr>
                <w:sz w:val="1"/>
                <w:szCs w:val="1"/>
                <w:color w:val="auto"/>
              </w:rPr>
            </w:pP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391,359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471,675</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19. Other current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2024 and 2023, Other current liabilities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Derivative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29,417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19,450</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liabilities (Note 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65,287</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54,040</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Due to affiliates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9,579</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Winter sub-charter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49,400</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30,195</w:t>
            </w:r>
          </w:p>
        </w:tc>
        <w:tc>
          <w:tcPr>
            <w:tcW w:w="0" w:type="dxa"/>
            <w:vAlign w:val="bottom"/>
          </w:tcPr>
          <w:p>
            <w:pPr>
              <w:spacing w:after="0"/>
              <w:rPr>
                <w:sz w:val="1"/>
                <w:szCs w:val="1"/>
                <w:color w:val="auto"/>
              </w:rPr>
            </w:pP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other current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174,829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227,951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-3647440</wp:posOffset>
            </wp:positionV>
            <wp:extent cx="6324600" cy="1193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9">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0">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5"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20"/>
          <w:szCs w:val="20"/>
          <w:color w:val="auto"/>
        </w:rPr>
        <w:t xml:space="preserve">During the fourth quarter of 2023, the Company began to sub-charter the </w:t>
      </w:r>
      <w:r>
        <w:rPr>
          <w:rFonts w:ascii="Times New Roman" w:cs="Times New Roman" w:eastAsia="Times New Roman" w:hAnsi="Times New Roman"/>
          <w:sz w:val="20"/>
          <w:szCs w:val="20"/>
          <w:b w:val="1"/>
          <w:bCs w:val="1"/>
          <w:i w:val="1"/>
          <w:iCs w:val="1"/>
          <w:color w:val="auto"/>
        </w:rPr>
        <w:t>Winter</w:t>
      </w:r>
      <w:r>
        <w:rPr>
          <w:rFonts w:ascii="Times New Roman" w:cs="Times New Roman" w:eastAsia="Times New Roman" w:hAnsi="Times New Roman"/>
          <w:sz w:val="20"/>
          <w:szCs w:val="20"/>
          <w:color w:val="auto"/>
        </w:rPr>
        <w:t>, a vessel included in the Energos Formation Transaction, and a liability was recorded representing the Company's obligation to pay sub-charter payments until the vessel is chartered directly from Energos. The Company also recognized an asset of $59,074 (see Note 12) representing the charterer's remaining payments to Energos. The sub-charter was terminated during the third quarter of 2024, and the Company derecognized both the sub-charter asset and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remaining balance of other current liabilities as of December 31, 2024 primarily consists of recoverable taxes payable.</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ectPr>
          <w:pgSz w:w="12240" w:h="15840" w:orient="portrait"/>
          <w:cols w:equalWidth="0" w:num="1">
            <w:col w:w="9900"/>
          </w:cols>
          <w:pgMar w:left="1180" w:top="210" w:right="1160" w:bottom="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84"/>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1"/>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0"/>
                <w:szCs w:val="20"/>
                <w:b w:val="1"/>
                <w:bCs w:val="1"/>
                <w:color w:val="auto"/>
              </w:rPr>
              <w:t>20. Debt</w:t>
            </w: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2024 and 2023, debt consisted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1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7"/>
        </w:trPr>
        <w:tc>
          <w:tcPr>
            <w:tcW w:w="112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Corporate debt</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Senior Secured Notes, due November 2029</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2,728,269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Senior Secured Notes, due September 2026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509,022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1,486,374</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Senior Secured Notes, due March 2029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233,789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Senior Secured Notes, due September 2025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1,245,662</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Revolving Facility</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866,600</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Term Loan B, due October 2028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776,353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771,420</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Term Loan A, due July 2027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321,573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Short-term Borrowings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182,270</w:t>
            </w:r>
          </w:p>
        </w:tc>
        <w:tc>
          <w:tcPr>
            <w:tcW w:w="0" w:type="dxa"/>
            <w:vAlign w:val="bottom"/>
          </w:tcPr>
          <w:p>
            <w:pPr>
              <w:spacing w:after="0"/>
              <w:rPr>
                <w:sz w:val="1"/>
                <w:szCs w:val="1"/>
                <w:color w:val="auto"/>
              </w:rPr>
            </w:pPr>
          </w:p>
        </w:tc>
      </w:tr>
      <w:tr>
        <w:trPr>
          <w:trHeight w:val="285"/>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Sale leaseback financing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Financing Obligation, due August 2042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1,366,293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1,359,995</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Tugboat Financing, due December 2038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46,728</w:t>
            </w:r>
          </w:p>
        </w:tc>
        <w:tc>
          <w:tcPr>
            <w:tcW w:w="0" w:type="dxa"/>
            <w:vAlign w:val="bottom"/>
          </w:tcPr>
          <w:p>
            <w:pPr>
              <w:spacing w:after="0"/>
              <w:rPr>
                <w:sz w:val="1"/>
                <w:szCs w:val="1"/>
                <w:color w:val="auto"/>
              </w:rPr>
            </w:pPr>
          </w:p>
        </w:tc>
      </w:tr>
      <w:tr>
        <w:trPr>
          <w:trHeight w:val="285"/>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Asset level financing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PortoCem Debentures, due September 2040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729,259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BNDES Term Loan, due October 2045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350,525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South Power 2029 Bonds, due May 2029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217,871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216,993</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Barcarena Debentures, due October 2028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175,025</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Turbine Financing, due July 2027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EB-5 Loan, due July 2028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61,614</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Barcarena Term Loan, due February 2024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199,678</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Equipment Notes, due July 2026</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190,789</w:t>
            </w:r>
          </w:p>
        </w:tc>
        <w:tc>
          <w:tcPr>
            <w:tcW w:w="0" w:type="dxa"/>
            <w:vAlign w:val="bottom"/>
          </w:tcPr>
          <w:p>
            <w:pPr>
              <w:spacing w:after="0"/>
              <w:rPr>
                <w:sz w:val="1"/>
                <w:szCs w:val="1"/>
                <w:color w:val="auto"/>
              </w:rPr>
            </w:pPr>
          </w:p>
        </w:tc>
      </w:tr>
      <w:tr>
        <w:trPr>
          <w:trHeight w:val="26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8,894,835</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6,803,148</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220" w:type="dxa"/>
            <w:vAlign w:val="bottom"/>
            <w:gridSpan w:val="2"/>
            <w:vMerge w:val="continue"/>
          </w:tcPr>
          <w:p>
            <w:pPr>
              <w:spacing w:after="0"/>
              <w:rPr>
                <w:sz w:val="22"/>
                <w:szCs w:val="22"/>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539,132</w:t>
            </w:r>
          </w:p>
        </w:tc>
        <w:tc>
          <w:tcPr>
            <w:tcW w:w="60" w:type="dxa"/>
            <w:vAlign w:val="bottom"/>
          </w:tcPr>
          <w:p>
            <w:pPr>
              <w:spacing w:after="0"/>
              <w:rPr>
                <w:sz w:val="22"/>
                <w:szCs w:val="22"/>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292,625</w:t>
            </w:r>
          </w:p>
        </w:tc>
        <w:tc>
          <w:tcPr>
            <w:tcW w:w="0" w:type="dxa"/>
            <w:vAlign w:val="bottom"/>
          </w:tcPr>
          <w:p>
            <w:pPr>
              <w:spacing w:after="0"/>
              <w:rPr>
                <w:sz w:val="1"/>
                <w:szCs w:val="1"/>
                <w:color w:val="auto"/>
              </w:rPr>
            </w:pP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8,355,703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6,510,523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-4547235</wp:posOffset>
            </wp:positionV>
            <wp:extent cx="6324600" cy="45688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1">
                      <a:extLst>
                        <a:ext uri="{28A0092B-C50C-407E-A947-70E740481C1C}"/>
                      </a:extLst>
                    </a:blip>
                    <a:srcRect/>
                    <a:stretch>
                      <a:fillRect/>
                    </a:stretch>
                  </pic:blipFill>
                  <pic:spPr bwMode="auto">
                    <a:xfrm>
                      <a:off x="0" y="0"/>
                      <a:ext cx="6324600" cy="4568825"/>
                    </a:xfrm>
                    <a:prstGeom prst="rect">
                      <a:avLst/>
                    </a:prstGeom>
                    <a:noFill/>
                  </pic:spPr>
                </pic:pic>
              </a:graphicData>
            </a:graphic>
          </wp:anchor>
        </w:drawing>
      </w:r>
    </w:p>
    <w:p>
      <w:pPr>
        <w:spacing w:after="0" w:line="27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auto"/>
        </w:rPr>
        <w:t>Long-term debt is recorded at amortized cost on the Consolidated Balance Sheets. The fair value of the Company's long-term debt was $9,087,890 and $6,835,487 as of December 31, 2024 and 2023, respectively, and was classified as Level 2 within the fair value hierarchy. The Company's debt arrangements include cross-acceleration clauses whereby events of default under an individual debt agreement can lead to acceleration of principal under other debt arrangements.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Our outstanding debt as of December 31, 2024 is repayable as follows: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529"/>
        </w:trPr>
        <w:tc>
          <w:tcPr>
            <w:tcW w:w="85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7"/>
        </w:trPr>
        <w:tc>
          <w:tcPr>
            <w:tcW w:w="85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7"/>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539,132</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712,903</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1,270,843</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1,184,328</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3,139,164</w:t>
            </w:r>
          </w:p>
        </w:tc>
      </w:tr>
      <w:tr>
        <w:trPr>
          <w:trHeight w:val="30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2,180,726</w:t>
            </w:r>
          </w:p>
        </w:tc>
      </w:tr>
      <w:tr>
        <w:trPr>
          <w:trHeight w:val="277"/>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9,027,096</w:t>
            </w:r>
          </w:p>
        </w:tc>
      </w:tr>
      <w:tr>
        <w:trPr>
          <w:trHeight w:val="30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deferred finance charges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(132,261)</w:t>
            </w:r>
          </w:p>
        </w:tc>
      </w:tr>
      <w:tr>
        <w:trPr>
          <w:trHeight w:val="26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debt, net deferred finance charges</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8,894,835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324600" cy="1765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2">
                      <a:extLst>
                        <a:ext uri="{28A0092B-C50C-407E-A947-70E740481C1C}"/>
                      </a:extLst>
                    </a:blip>
                    <a:srcRect/>
                    <a:stretch>
                      <a:fillRect/>
                    </a:stretch>
                  </pic:blipFill>
                  <pic:spPr bwMode="auto">
                    <a:xfrm>
                      <a:off x="0" y="0"/>
                      <a:ext cx="6324600" cy="1765300"/>
                    </a:xfrm>
                    <a:prstGeom prst="rect">
                      <a:avLst/>
                    </a:prstGeom>
                    <a:noFill/>
                  </pic:spPr>
                </pic:pic>
              </a:graphicData>
            </a:graphic>
          </wp:anchor>
        </w:drawing>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F-39</w:t>
      </w:r>
    </w:p>
    <w:p>
      <w:pPr>
        <w:sectPr>
          <w:pgSz w:w="12240" w:h="15840" w:orient="portrait"/>
          <w:cols w:equalWidth="0" w:num="1">
            <w:col w:w="9900"/>
          </w:cols>
          <w:pgMar w:left="1180" w:top="210" w:right="116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The Company's future payments for the Vessel Financing Obligation include the expected carrying value of vessels that will be derecognized at the end of the lease term. The future payments also include third-party charter payments that will be received by Energos and included as part of debt service.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Exchange Transactions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November 6, 2024, the Company entered into an exchange and subscription agreement (the “Exchange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Subscription Agreement”) with certain holders (the “Supporting Holders”) of the Company’s outstanding 2026 Notes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2029 Notes (each defined below). Pursuant to the Exchange and Subscription Agreement (i) NFE Financing LLC (“NFE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an indirect subsidiary of NFE, sold to the Supporting Holders approximately $1,210,396 aggregate principal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of NFE Financing’s 12.0% Senior Secured Notes due 2029 (the “New 2029 Notes”) (the transactions described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clause (i), the “Subscription Transactions”) and (ii) NFE Financing issued to the Supporting Holders approximately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$1,519,731 aggregate principal amount of New 2029 Notes in a dollar-for-dollar exchange for a portion of the Company’s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 Notes and 2029 Notes (the transactions described in clause (ii), the “Exchange Transactions” and together with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Subscription Transactions, the “Refinancing Transactions”).</w:t>
      </w:r>
    </w:p>
    <w:p>
      <w:pPr>
        <w:spacing w:after="0" w:line="2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NFE Financing issued $2,730,127 aggregate principal amount of New 2029 Notes pursuant to the Refinancing Transactions. The Company utilized $886,648 of these net proceeds from the Subscription Transactions to repay in full the outstanding aggregate principal amount and accrued interest on the 2025 Notes. The remainder of the net proceeds from the New 2029 Notes issued pursuant to the Subscription Transactions will be used for general corporate purposes.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Pursuant to the Exchange and Subscription Agreement, upon consummation of the Refinancing Transactions, the Supporting Holders received a commitment fee equal to either (i) 5% of the aggregate principal amount of such Supporting Holder’s New 2029 Notes, payable in shares of Class A common stock of the Company, at a price of $8.63 per share (the “Commitment Fee Shares”), (ii) 2% of the aggregate principal amount of such Supporting Holder’s New 2029 Notes, payable in kind in the form of additional New 2029 Notes (the “Commitment Fee Notes”), or (iii) a combination of the foregoing. The Company has issued 15,700,998 Commitment Fee Shares to the Supporting Holders in satisfaction of its commitment fee obligations under the Exchange and Subscription Agreement, and $5,368 Commitment Fee Notes were issued and included in the total New 2029 Notes issuance.</w:t>
      </w:r>
    </w:p>
    <w:p>
      <w:pPr>
        <w:spacing w:after="0" w:line="21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auto"/>
        </w:rPr>
        <w:t>The New 2029 Notes were issued pursuant to, and are governed by, an indenture (the “New Notes Indenture”). The New 2029 Notes are senior, secured obligations of NFE Financing, and interest is payable semi-annually in arrears at a rate of 12.0% per annum on May 15 and November 15 of each year, beginning on May 15, 2025. The New Notes will mature on November 15, 2029, provided that the maturity date shall be accelerated to the date that is 91 days prior to the stated maturity date of any other indebtedness of the Company, subject to certain exceptions as described in the New Notes Indenture, if more than $100,000 aggregate principal amount of such other indebtedness remains outstanding on such date</w:t>
      </w:r>
      <w:r>
        <w:rPr>
          <w:rFonts w:ascii="Times New Roman" w:cs="Times New Roman" w:eastAsia="Times New Roman" w:hAnsi="Times New Roman"/>
          <w:sz w:val="19"/>
          <w:szCs w:val="19"/>
          <w:color w:val="EE2724"/>
        </w:rPr>
        <w:t>.</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NFE Financing may redeem some or all of the New 2029 Notes at redemption prices set forth in the New Notes Indenture; such redemption prices and any “make-whole” premiums are based on the timing of the redemption. Further, upon the occurrence of certain other events, including change of control and certain distributions from the Company’s Brazil business, NFE Financing may be required to make an offer to repurchase all of the New 2029 Notes at prices specified in the New Notes Indenture.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New 2029 Notes are guaranteed by NFE Financing’s wholly-owned subsidiary, Bradford County Real Estate Partners LLC (the “New Notes Guarantor”) which owns the Company’s land in Wyalusing, Pennsylvania. The New 2029 Notes are secured by first-priority liens on: (a) all assets of NFE Financing, including approximately 45% of the equity in the entity that owns the Company’s Brazil business, and 100% of the equity in the New Notes Guarantor and (b) all assets of the New Notes Guarantor.</w:t>
      </w:r>
    </w:p>
    <w:p>
      <w:pPr>
        <w:spacing w:after="0" w:line="20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The New Notes Indenture provides for customary events of default which include (subject in certain cases to customary grace and cure periods), among others, acceleration and/or defaults of certain of the Company's other indebtedness. The New Notes Indenture and other credit agreements associated with certain intercompany loans of NFE Financing, limit the ability of the Company to, among other things, incur additional indebtedness, incur liens that secure indebtedness, make restricted payments, create dividend restrictions and other payment restrictions, sell or transfer certain assets, in each case subject to certain exceptions and qualifications set forth in the New Notes Indenture and other indentures.</w:t>
      </w:r>
    </w:p>
    <w:p>
      <w:pPr>
        <w:spacing w:after="0" w:line="208"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9"/>
          <w:szCs w:val="19"/>
          <w:color w:val="auto"/>
        </w:rPr>
        <w:t>The repayment of all of the 2025 Notes and the exchange of a portion of the 2026 Notes and 2029 Notes was treated as an extinguishment, and $11,442 of unamortized deferred debt issuance costs was recognized as a loss on extinguishment of</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ectPr>
          <w:pgSz w:w="12240" w:h="15840" w:orient="portrait"/>
          <w:cols w:equalWidth="0" w:num="1">
            <w:col w:w="9880"/>
          </w:cols>
          <w:pgMar w:left="1180" w:top="218" w:right="118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debt in the Consolidated Statements of Operations and Comprehensive (Loss) Income. Fees paid to lenders, including the issuance of Commitment Fee Shares and Commitment Fee Notes, of $193,370 were included in the loss on extinguishment of debt. The Company also recognized $30,541 of loss on extinguishment of debt, which represents the fair value of the New 2029 Notes issued in excess of the carrying amount of debt exchanged or repaid. The New 2029 Notes are recorded at fair value and fees paid to third parties of $32,341 will be amortized over the term of the New 2029 Notes. As of December 31, 2024, total remaining unamortized deferred financing costs for the New 2029 Notes was $31,747.</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conjunction with the Refinancing Transactions, the Supporting Holders agreed to consent to certain amendments to the indentures pursuant to which the 2026 Notes (such indenture, the “Existing 2026 Notes Indenture”) and the 2029 Notes (such indenture, the “Existing 2029 Notes Indenture”) were issued. These amendments allow the Company to subordinate the liens on certain of the collateral securing the obligations under each of the Existing 2026 Notes Indenture and Existing 2029 Notes Indenture to the liens on the same collateral securing certain intercompany loans due to NFE Financing, and to remove all covenants and events of default that may be removed in compliance with terms of such indentures (the “Indenture Amendments”). The adoption of the Indenture Amendments required the consent of holders of at least 66.67% the outstanding principal amount of each of the 2026 Notes and 2029 Notes. The Company received the required level of consent, and subsequently executed a supplemental indenture to the Existing 2026 Notes Indenture (the “2026 Supplemental Indenture”) and a supplemental indenture to the Existing 2029 Notes Indenture (the “2029 Supplemental Indenture,” and, together with the 2026 Supplemental Indenture, the “Supplemental Indentures”) effecting the Amendments. The Supplemental Indentures became effective on December 5, 2024.</w:t>
      </w:r>
      <w:r>
        <w:rPr>
          <w:rFonts w:ascii="Times New Roman" w:cs="Times New Roman" w:eastAsia="Times New Roman" w:hAnsi="Times New Roman"/>
          <w:sz w:val="20"/>
          <w:szCs w:val="20"/>
          <w:b w:val="1"/>
          <w:bCs w:val="1"/>
          <w:i w:val="1"/>
          <w:iCs w:val="1"/>
          <w:color w:val="auto"/>
        </w:rPr>
        <w:t>2025 Notes</w:t>
      </w:r>
    </w:p>
    <w:p>
      <w:pPr>
        <w:spacing w:after="0" w:line="21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In September and December 2020, the Company issued an aggregate amount of $1,250,000 of 6.75% senior secured notes in private offerings pursuant to Rule 144A under the Securities Act (the “2025 Notes”). Interest was payable semi-annually in arrears on March 15 and September 15 of each year; no principal payments were due until maturity on September 15, 2025.</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connection with the offering of the 2029 Notes (defined below) in March 2024, the Company completed a cash tender offer to repurchase $375,000 of the outstanding 2025 Notes, for an aggregate repurchase price of $376,875. The tender offer was closed and the partial repurchase of the 2025 Notes was completed in the first quarter of 2024. The premium over the repurchase price of $1,875 was recognized as Loss on extinguishment of debt, net in the Consolidated Statements of Operations and Comprehensive (Loss) Income. The remaining outstanding principal under the 2025 Notes was repaid in conjunction with the Refinancing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Notes</w:t>
      </w:r>
    </w:p>
    <w:p>
      <w:pPr>
        <w:spacing w:after="0" w:line="2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In April 2021, the Company issued $1,500,000 of 6.50% senior secured notes in a private offering pursuant to Rule 144A under the Securities Act (the “2026 Notes”). Interest is payable semi-annually in arrears on March 31 and September 30 of each year; no principal payments are due until maturity on September 30, 2026. The Company may redeem the 2026 Notes, in whole or in part, at any time prior to maturity, subject to certain make-whole premiums.</w:t>
      </w:r>
    </w:p>
    <w:p>
      <w:pPr>
        <w:spacing w:after="0" w:line="203"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19"/>
          <w:szCs w:val="19"/>
          <w:color w:val="auto"/>
        </w:rPr>
        <w:t>The 2026 Notes are guaranteed, jointly and severally, on a senior secured basis by certain domestic and foreign subsidiaries. Subsequent to the Refinancing Transactions, the 2026 Notes are subject to the 2026 Supplemental Indenture.</w:t>
      </w:r>
    </w:p>
    <w:p>
      <w:pPr>
        <w:spacing w:after="0" w:line="15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In connection with the issuance of the 2026 Notes, the Company incurred $25,240 in origination, structuring and other fees, which was deferred as a reduction of the principal balance of the 2026 Notes on the Consolidated Balance Sheets. As part of the Refinancing Transactions, the Company exchanged $989,121 of the 2026 Notes on a dollar-for-dollar basis for New 2029 Notes, resulting in a partial extinguishment. This partial extinguishment of the 2026 Notes resulted in the proportionate write-off of unamortized deferred financing fees, and as of December 31, 2024 and 2023, total remaining unamortized deferred financing costs for the 2026 Notes was $1,857 and $13,626,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2029 Notes</w:t>
      </w:r>
    </w:p>
    <w:p>
      <w:pPr>
        <w:spacing w:after="0" w:line="2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In March 2024, the Company issued $750,000 of 8.75% senior secured notes in a private offering pursuant to Rule 144A under the Securities Act (the “2029 Notes”). Interest is payable semi-annually in arrears on March 15 and September 15 of each year; no principal payments are due until maturity on March 15, 2029. The Company may redeem the 2029 Notes, in whole or in part, at any time prior to maturity, subject to certain make-whole premiums.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ectPr>
          <w:pgSz w:w="12240" w:h="15840" w:orient="portrait"/>
          <w:cols w:equalWidth="0" w:num="1">
            <w:col w:w="9860"/>
          </w:cols>
          <w:pgMar w:left="1180" w:top="218" w:right="1200"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20"/>
          <w:szCs w:val="20"/>
          <w:color w:val="auto"/>
        </w:rPr>
        <w:t>The 2029 Notes are guaranteed on a senior secured basis by each domestic subsidiary and foreign subsidiary that is a guarantor under the 2026 Notes. Subsequent to the Refinancing Transactions, the 2029 Notes are subject to the 2029 Supplemental Indenture.</w:t>
      </w:r>
    </w:p>
    <w:p>
      <w:pPr>
        <w:spacing w:after="0" w:line="1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connection with the issuance of the 2029 Notes, the Company incurred $14,171 in origination, structuring and other fees, which was deferred as a reduction of the principal balance of the 2029 Notes on the Consolidated Balance Sheets. As part of the Refinancing Transactions, the Company exchanged $513,272 of the 2029 Notes on a dollar-for-dollar basis for New 2029 Notes, resulting in a partial extinguishment. This partial extinguishment of the 2029 Notes resulted in the proportionate write-off of unamortized deferred financing fees, and as of December 31, 2024, total remaining unamortized deferred financing costs for the 2029 Notes was $2,939.</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Facility</w:t>
      </w:r>
    </w:p>
    <w:p>
      <w:pPr>
        <w:spacing w:after="0" w:line="2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In April 2021, the Company entered into a credit agreement (the "Revolving Credit Agreement") for a $200,000 senior secured revolving credit facility (the "Revolving Facility"). Through December 31, 2023, the Revolving Facility was amended to increase the borrowing capacity to $950,000. In May 2024, the Company entered into an amendment which increased the borrowing capacity by $50,000, for a total capacity of $1,000,000. The amendments did not impact the interest rate or term of the Revolving Facility, and no deferred costs were written off. As of December 31, 2024 and 2023, $1,000,000 and $866,600 was outstanding under the Revolving Facility.</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borrowings under the Revolving Facility bear interest at a Secured Overnight Financing Rate ("SOFR") based rate plus a margin based upon usage of the Revolving Facility. The rates applicable to outstanding borrowings as of December 31, 2024 and 2023 were 8.22% and 8.29%, respectively. Borrowings under the Revolving Facility may be prepaid, at the option of the Company, at any time without premium.</w:t>
      </w:r>
    </w:p>
    <w:p>
      <w:pPr>
        <w:spacing w:after="0" w:line="20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Concurrent with the Refinancing Transactions, the Company entered into an amendment with certain lenders in the Revolving Facility (the "Consenting Lenders") to extend the maturity of their commitments to October 15, 2027. The Consenting Lenders hold $900,000 of the total revolving commitments. The applicable margin payable on revolving borrowings to the Consenting Lenders increased by 100 basis points. The Company is required to reduce the commitments with proceeds from certain assets sales and by certain amounts received from the settlement of the Company’s claims following the termination of the Company’s contract to provide emergency power services in Puerto Rico (Note 5). Notwithstanding these required reductions, the Company must reduce commitments for Consenting Lenders to $630,000 by September 30, 2025, and as such, $270,000 of the outstanding borrowings under the Revolving Facility have been recognized as current. The remainder of the Revolving Facility will mature in April 2026 with the potential for the Company to extend the maturity date once for a one-year increment.</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obligations under the Revolving Facility are guaranteed by certain of the Company's subsidiaries, including those that own the Company's offshore FLNG facility at Altamira ("FLNG1 Project") and Altamira Onshore Project (defined below), and are secured by substantially the same collateral securing the obligations under certain intercompany loans entered into in conjunction with the Refinancing Transactions, as well as the assets comprising the FLNG1 Project and Altamira Onshore Project. The Company is required to comply with the below covenants under the Revolving Facility and the Letter of Credit Facility (defined below):</w:t>
      </w:r>
    </w:p>
    <w:p>
      <w:pPr>
        <w:spacing w:after="0" w:line="208" w:lineRule="exact"/>
        <w:rPr>
          <w:sz w:val="20"/>
          <w:szCs w:val="20"/>
          <w:color w:val="auto"/>
        </w:rPr>
      </w:pPr>
    </w:p>
    <w:p>
      <w:pPr>
        <w:ind w:left="720" w:right="100" w:hanging="370"/>
        <w:spacing w:after="0" w:line="256" w:lineRule="auto"/>
        <w:tabs>
          <w:tab w:leader="none" w:pos="7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with the fiscal quarter ended March 31, 2025, for quarters in which the Revolving Facility is greater than 50% drawn, the Debt to EBITDA Ratio must be below the following: (i) 8.75 to 1.00, for the fiscal quarter ending March 31, 2025, (ii) 7.25 to 1.00, for the fiscal quarter ending June 30, 2025, (iii) 6.75 to 1.00, for the fiscal quarter ending September 30, 2025, (iv) 6.50 to 1.00, for the fiscal quarter ending December 31, 2025, (v) 7.25 to 1.00, for the fiscal quarters ending March 31, 2026 through September 30, 2026, and (vi) 6.75 to 1.00, for the fiscal quarter ending December 31, 2026 and each fiscal quarter thereafter.</w:t>
      </w:r>
    </w:p>
    <w:p>
      <w:pPr>
        <w:spacing w:after="0" w:line="208" w:lineRule="exact"/>
        <w:rPr>
          <w:rFonts w:ascii="Times New Roman" w:cs="Times New Roman" w:eastAsia="Times New Roman" w:hAnsi="Times New Roman"/>
          <w:sz w:val="20"/>
          <w:szCs w:val="20"/>
          <w:color w:val="auto"/>
        </w:rPr>
      </w:pPr>
    </w:p>
    <w:p>
      <w:pPr>
        <w:ind w:left="720" w:right="100" w:hanging="370"/>
        <w:spacing w:after="0" w:line="266" w:lineRule="auto"/>
        <w:tabs>
          <w:tab w:leader="none" w:pos="7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with fiscal quarter ended March 31, 2025, the Fixed Charge Coverage Ratio must be less than or equal to (i) 0.80 to 1.00, for the fiscal quarter ending March 31, 2025 and (ii) 1.00 to 1.00, for the fiscal quarter ending June 30, 2025 and each fiscal quarter thereafter.</w:t>
      </w:r>
    </w:p>
    <w:p>
      <w:pPr>
        <w:spacing w:after="0" w:line="195"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also required to maintain a minimum consolidated liquidity of (i) $50,000 as of the last day of each month, commencing as of October 31, 2024 and (ii) $100,000 as of the last day of any fiscal quarter,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ectPr>
          <w:pgSz w:w="12240" w:h="15840" w:orient="portrait"/>
          <w:cols w:equalWidth="0" w:num="1">
            <w:col w:w="9880"/>
          </w:cols>
          <w:pgMar w:left="1180" w:top="218" w:right="1180" w:bottom="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spacing w:after="0" w:line="281" w:lineRule="auto"/>
        <w:rPr>
          <w:sz w:val="20"/>
          <w:szCs w:val="20"/>
          <w:color w:val="auto"/>
        </w:rPr>
      </w:pPr>
      <w:r>
        <w:rPr>
          <w:rFonts w:ascii="Times New Roman" w:cs="Times New Roman" w:eastAsia="Times New Roman" w:hAnsi="Times New Roman"/>
          <w:sz w:val="20"/>
          <w:szCs w:val="20"/>
          <w:color w:val="auto"/>
        </w:rPr>
        <w:t>commencing as of December 31, 2024. The Company was in compliance with these covenants as of December 31, 2024.</w:t>
      </w:r>
    </w:p>
    <w:p>
      <w:pPr>
        <w:spacing w:after="0" w:line="18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The Revolving Credit Agreement contains usual and customary representations and warranties, usual and customary affirmative and negative covenants and events of default.</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Company incurred $5,398 in origination, structuring and other fees, associated with entry into the Revolving Facility, which includes additional fees to expand the facility in 2022. During the years ended December 31, 2024 and 2023, the Company incurred an additional $32,410 and $9,431, respectively, in fees in relation to the amendments. Each amendment has been accounted for as a modification, and these costs have been capitalized within Other non-current assets on the Consolidated Balance Sheets. As of December 31, 2024 and 2023, total remaining unamortized deferred financing costs for the Revolving Facility was $38,190 and $11,923,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 of Credit Facility</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July 2021, the Company entered into an uncommitted letter of credit and reimbursement agreement (the "Letter of Credit Agreement") with a bank for the issuance of letters of credit for an aggregate amount of up to $75,000 (the“Letter of Credit Facility”). Through December 31, 2023, the Letter of Credit Facility was amended multiple times to increase the availability to $350,000. As at December 31, 2024, the Letter of Credit Facility had a limit of $315,000, and outstanding letters of credit have an interest rate of 3.35%. The Company had an unutilized Letter of Credit Facility balance of $69,000 as at December 31, 2024.</w:t>
      </w:r>
    </w:p>
    <w:p>
      <w:pPr>
        <w:spacing w:after="0" w:line="2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Letter of Credit Agreement contains usual and customary representations and warranties, usual and customary affirmative and negative covenants and events of default. The Company is required to comply with the financial covenants applicable to the Revolving 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B Credit Agreement</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On August 3, 2023, the Company entered into a credit agreement (the “Bridge Term Loan Agreement”) pursuant to which the lenders funded term loans (the “Bridge Term Loans”) to the Company in an aggregate principal amount of $400,000. The Bridge Term Loans were initially set to mature on August 1, 2024 and were payable in full on the maturity date. The Bridge Term Loans bore interest at a per annum rate equal to Adjusted Term SOFR (as defined in the Bridge Term Loan Agreement) plus 3.50%.</w:t>
      </w:r>
    </w:p>
    <w:p>
      <w:pPr>
        <w:spacing w:after="0" w:line="20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On October 30, 2023, the Company entered into a credit agreement (the “Term Loan B Agreement”) pursuant to which the lenders funded term loans to the Company in an aggregate principal amount of $856,000 ("Term Loan B"). Borrowings were issued at a discount, and the Company received proceeds of $787,520. The proceeds from the Term Loan B issuance were used to repay the Bridge Term Loans and may be used for working capital and other general corporate purposes. The Term Loan B will mature on the earliest of (i) October 30, 2028 if the 2026 Notes are refinanced in full prior to their maturity and (ii) July 31, 2026, if any of the 2026 Notes remain outstanding as of such date. Quarterly principal payments of approximately $2,140 are required beginning March 2024.</w:t>
      </w:r>
    </w:p>
    <w:p>
      <w:pPr>
        <w:spacing w:after="0" w:line="21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The obligations under the Term Loan B are guaranteed by certain of the Company's subsidiaries, including those that own the Company's FLNG1 Project and Altamira Onshore Project (defined below). The Term Loan B is secured by substantially the same collateral as the first lien obligations under the 2026 Notes, the Revolving Facility, and, in addition, is secured by assets compromising the Company's FLNG1 Project.</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Term Loan B bears interest at a per annum rate equal to Adjusted Term SOFR (as defined in the Term Loan B Agreement) plus 5.0%. The Company may prepay the Term Loan B at its option subject to prepayment premiums until October 2025 and customary break funding costs. The Company is required to prepay the Term Loan B with the net proceeds of certain asset sales, condemnations, and debt and convertible securities issuances, in each case subject to certain exceptions and thresholds. Additionally, commencing with the fiscal quarter ending December 31, 2024, the Company will be required to prepay the Term Loan B with the Company’s Excess Cash Flow (as defined in the Term Loan B Agreement).</w:t>
      </w:r>
    </w:p>
    <w:p>
      <w:pPr>
        <w:spacing w:after="0" w:line="210" w:lineRule="exact"/>
        <w:rPr>
          <w:sz w:val="20"/>
          <w:szCs w:val="20"/>
          <w:color w:val="auto"/>
        </w:rPr>
      </w:pPr>
    </w:p>
    <w:p>
      <w:pPr>
        <w:ind w:right="440"/>
        <w:spacing w:after="0" w:line="309" w:lineRule="auto"/>
        <w:rPr>
          <w:sz w:val="20"/>
          <w:szCs w:val="20"/>
          <w:color w:val="auto"/>
        </w:rPr>
      </w:pPr>
      <w:r>
        <w:rPr>
          <w:rFonts w:ascii="Times New Roman" w:cs="Times New Roman" w:eastAsia="Times New Roman" w:hAnsi="Times New Roman"/>
          <w:sz w:val="19"/>
          <w:szCs w:val="19"/>
          <w:color w:val="auto"/>
        </w:rPr>
        <w:t>The Term Loan B Agreement contains usual and customary representations and warranties, and usual and customary affirmative and negative covenants. No financial covenant compliance is required under the Term Loan B Agreement.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ectPr>
          <w:pgSz w:w="12240" w:h="15840" w:orient="portrait"/>
          <w:cols w:equalWidth="0" w:num="1">
            <w:col w:w="9880"/>
          </w:cols>
          <w:pgMar w:left="1180" w:top="218" w:right="1180" w:bottom="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In connection with the execution of the Bridge Term Loan Agreement and the Term Loan B Agreement, the Company incurred $17,719 in origination, structuring and other fees. The repayment of the Bridge Term Loans with borrowings under the Term Loan B Agreement was treated as a modification, and fees attributable to lenders that participated in the Bridge Term Loans will be amortized over the life of the Term Loan B Agreement; additional third-party fees associated with such lenders of $1,578 were recognized as expense in Transaction and integration costs. Additional fees for new lenders participating in the Term Loan B were recognized as a reduction of the principal balance on the Consolidated Balance Sheets. As of December 31, 2024 and 2023, total remaining unamortized deferred financing costs, including the unamortized original issue discount, for the Term Loan B were $71,087 and $84,580,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A Credit Agreement</w:t>
      </w:r>
    </w:p>
    <w:p>
      <w:pPr>
        <w:spacing w:after="0" w:line="25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9"/>
          <w:szCs w:val="19"/>
          <w:color w:val="auto"/>
        </w:rPr>
        <w:t>In July 2024, the Company entered into a credit agreement ("Term Loan A Credit Agreement") for a senior secured, multiple draw term loan facility in an aggregate principal amount of up to $700,000 ("Term Loan A"). Proceeds will be used to pay costs of the construction and development of the Company's onshore FLNG project in Altamira (the “Altamira Onshore Project”). During the year ended December 31, 2024, the Company drew $350,000 on the Term Loan A. The remaining commitments for subsequent funding expire on the earliest of June 30, 2026, the date of completion of the Onshore Altamira Project (the “Completion Date”) and the date that the commitments are reduced to zero or terminated.</w:t>
      </w:r>
    </w:p>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obligations under the Term Loan A Credit Agreement are guaranteed, jointly and severally, on a senior secured basis by each subsidiary that is a guarantor under the 2026 Notes, 2029 Notes, the Company’s Revolving Facility, the Company’s letter of credit facility (the “Letter of Credit Facility”) and the Company’s Term Loan B, other than the guarantors comprising the FLNG1 Project (who guarantee the Revolving Facility, the Letter of Credit Facility, and the Term Loan B). The obligations under the Term Loan A Credit Agreement are secured by substantially the same collateral as the collateral securing such facilities, with the exception of the collateral comprising the FLNG1 Project (which secures the Revolving Facility, the Letter of Credit Facility, and the Term Loan B). Additionally, the Term Loan A is guaranteed by the entities, and secured by the assets, comprising the Onshore Altamira Project. An equal priority intercreditor agreement governs the treatment of the collateral.</w:t>
      </w:r>
    </w:p>
    <w:p>
      <w:pPr>
        <w:spacing w:after="0" w:line="2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Term Loan A will mature in July 2027 and is payable in full on the maturity date. In the event that the Company’s existing 2026 Notes are not refinanced or repaid at least 60 days prior to maturity, amounts outstanding under the Term Loan A will become due and payable on such date. The Company may prepay the Term Loan A at its option without premium or penalty at any time subject to customary break funding costs. The Company is required to prepay the Term Loan A with the net proceeds of certain asset sales, condemnations, debt and convertible securities issuances, and extraordinary receipts related to the Onshore Altamira Project. Additionally, commencing with the first fiscal quarter after the Completion Date, the Company will be required to prepay the Term Loan A with the Onshore Altamira Project’s Excess Cash Flow (as defined in the Term Loan A Credit Agreement).</w:t>
      </w:r>
    </w:p>
    <w:p>
      <w:pPr>
        <w:spacing w:after="0" w:line="21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The Term Loan A will bear interest at a per annum rate equal to Term SOFR plus 3.75%, or at a base rate plus 2.75%. The interest rate on the Term Loan A will increase by 0.25% every 180 days beginning on June 30, 2025.</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Term Loan A Credit Agreement contains usual and customary representations, warranties and affirmative and negative covenants for financings of this type, including certain representations and warranties related to the Onshore Altamira Project. The Term Loan A Credit Agreement includes certain other covenants related solely to the Onshore Altamira Project, including limitations on capital expenditures, restrictions on additional accounts, and restrictions on amendments or termination of certain material documents related to the Onshore Altamira Project. The Company must also comply with certain financial covenants consistent with those under the Revolving Facility, including Debt to EBITDA Ratio and minimum consolidated liquidity.</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connection with the issuance of the Term Loan A, the Company incurred $39,227 in origination, structuring and other fees, which was capitalized in Other non-current assets on the Consolidated Balance Sheet as the Term Loan A is a delayed draw term loan. During the year ended December 31, 2024, $16,142 of fees were reclassified as a reduction of the principal balance of the Term Loan A on the Consolidated Balance Sheets as each draw was made. In addition, the Company recorded a debt discount of $8,830 as a result of an embedded derivative (Note 9). As of December 31, 2024, total remaining unamortized deferred financing costs and debt discount reducing the principal balance was $28,426.</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ectPr>
          <w:pgSz w:w="12240" w:h="15840" w:orient="portrait"/>
          <w:cols w:equalWidth="0" w:num="1">
            <w:col w:w="9860"/>
          </w:cols>
          <w:pgMar w:left="1180" w:top="218" w:right="1200"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Borrowings</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Company has an LNG cargo financing arrangement where it may, from time to time, enter into sales and repurchase agreements with a financial institution, whereby the Company sells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December 31, 2024, the Company had $179,890 due under repurchase arrangements with a weighted average interest rate of 8.87%. As of December 31, 2023, the Company had $182,270 due under repurchase arrangements with a weighted average interest rate of 9.68%.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Financing Obligation</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connection with of the Energos Formation Transaction (see discussion in Note 6), the Company entered into long-term time charter agreements for certain vessels for periods of up to 20 years. Vessels chartered to the Company at the time of closing were classified as finance leases. Additionally, the Company's charter of certain other vessels will commence only upon the expiration of the vessel's existing third-party charters. These forward starting charters prevented the recognition of a sale of the vessels to Energos. As such, the Company accounted for the Energos Formation Transaction as a failed sale-leaseback and has recorded a financing obligation for consideration received.</w:t>
      </w:r>
    </w:p>
    <w:p>
      <w:pPr>
        <w:spacing w:after="0" w:line="2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 xml:space="preserve">The Company continues to be the owner for accounting purposes of vessels included in the Energos Formation Transaction (except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and as such, the Company recognizes revenue and operating expenses related to vessels under charter to third parties. Revenue recognized from these third-party charters form a portion of the debt service for the financing obligation; at inception of the arrangement, the effective interest rate on this financing obligation was approximately 15.9% and includes the cash flows that Energos receives from these third-party charters. Charter payments due in 2025 include $57,762 that will be treated as a payment of principal, and this amount is included within the current portion of long-term debt.</w:t>
      </w:r>
    </w:p>
    <w:p>
      <w:pPr>
        <w:spacing w:after="0" w:line="2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 xml:space="preserve">In connection with closing of the Energos Formation Transaction, the Company incurred $10,010 in origination, structuring and other fees, of which $2,995 was allocated to the sale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and recognized as Other expense (income), net in the Consolidated Statements of Operations and Comprehensive (Loss) Income. Financing costs of $7,015 were allocated and deferred as a reduction of the principal balance of the financing obligation on the Consolidated Balance Sheets. As of December 31, 2024 and 2023, the remaining unamortized deferred financing costs for the Vessel Financing Obligation was $6,141 and $6,490,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Tugboat Financing</w:t>
      </w:r>
    </w:p>
    <w:p>
      <w:pPr>
        <w:spacing w:after="0" w:line="25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In December 2023, the Company sold and leased back four tugboat vessels for 15 years receiving proceeds of $46,728. ("Tugboat Financing"). The leasebacks of the tugboat vessels were classified as finance leases, and as such, the Company accounted for the Tugboat Financing as a failed sale-leaseback and has recorded a financing obligation for consideration received. The effective interest rate on this financing obligation is approximately 16.92%.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PortoCem Financings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part of the PortoCem Acquisition, the Company assumed a term loan in the aggregate principal amount of</w:t>
      </w:r>
    </w:p>
    <w:p>
      <w:pPr>
        <w:spacing w:after="0" w:line="3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R$141,445 million ($28,093 based on the exchange rate in effect on the acquisition date) due December 2024, bearing interest at a rate equal to the one-day interbank deposit rate in Brazil plus 5.0% (the "PortoCem BTG Loan"). Lenders under the PortoCem BTG Loan waived acceleration requirements in the event of a change in control in conjunction with the PortoCem Acquisition, and repayment of the PortoCem BTG Loan was required upon the earlier of PortoCem obtaining additional financing or the original maturity date of December 2024.</w:t>
      </w:r>
    </w:p>
    <w:p>
      <w:pPr>
        <w:spacing w:after="0" w:line="2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In April 2024, PortoCem and a syndicate of banks in Brazil entered into a commitment letter for R$2.9 billion of financing. PortoCem received funding under a short term credit note of R$600 million ("PortoCem Credit Note") from this syndicate that was due in July 2024, and a portion of the proceeds was used to repay the PortoCem BTG Loan.</w:t>
      </w:r>
    </w:p>
    <w:p>
      <w:pPr>
        <w:spacing w:after="0" w:line="19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color w:val="auto"/>
        </w:rPr>
        <w:t>In May 2024, the PortoCem Credit Note was replaced by a bridge financing agreement that allows PortoCem to borrow up to R$2.9 billion due in October 2025 ("PortoCem Bridge Loan"). PortoCem borrowed R$1.5 billion, and this funding was used to repay the PortoCem Credit Note and to begin the development and construction of a power plant to deliver under the capacity reserve contracts acquired in the PortoCem Acquisition. The PortoCem Bridge Loan bore interest at the one-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ectPr>
          <w:pgSz w:w="12240" w:h="15840" w:orient="portrait"/>
          <w:cols w:equalWidth="0" w:num="1">
            <w:col w:w="9880"/>
          </w:cols>
          <w:pgMar w:left="1180" w:top="218" w:right="1180"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day interbank deposit futures rate in Brazil plus 4.25%, and no principal payments were required until maturity in October 2025.</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In November 2024, PortoCem issued R$4.5 billion ($726,750 based on exchange rates in effect at December 31, 2024) of debentures to BNDES ("PortoCem Debentures"). Borrowings bear interest at 9.15%. No principal or interest payments are due until September 2027; at that point, PortoCem will begin to make semi-annual payments until maturity in September 2040. Proceeds received were utilized to repay the PortoCem Bridge Loan, and the remaining proceeds are restricted to fund the construction of the PortoCem Power Plant.</w:t>
      </w:r>
    </w:p>
    <w:p>
      <w:pPr>
        <w:spacing w:after="0" w:line="204" w:lineRule="exact"/>
        <w:rPr>
          <w:sz w:val="20"/>
          <w:szCs w:val="20"/>
          <w:color w:val="auto"/>
        </w:rPr>
      </w:pPr>
    </w:p>
    <w:p>
      <w:pPr>
        <w:jc w:val="both"/>
        <w:ind w:right="800"/>
        <w:spacing w:after="0" w:line="309" w:lineRule="auto"/>
        <w:rPr>
          <w:sz w:val="20"/>
          <w:szCs w:val="20"/>
          <w:color w:val="auto"/>
        </w:rPr>
      </w:pPr>
      <w:r>
        <w:rPr>
          <w:rFonts w:ascii="Times New Roman" w:cs="Times New Roman" w:eastAsia="Times New Roman" w:hAnsi="Times New Roman"/>
          <w:sz w:val="19"/>
          <w:szCs w:val="19"/>
          <w:color w:val="auto"/>
        </w:rPr>
        <w:t>The PortoCem Debentures contain usual and customary representations and warranties, and usual and customary affirmative and negative covenants. The PortoCem Debentures do not contain any restrictive financial covenants.</w:t>
      </w:r>
    </w:p>
    <w:p>
      <w:pPr>
        <w:spacing w:after="0" w:line="1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Company incurred $11,663 in origination, structuring and other fees in connection with the entry into the PortoCem Credit Note and the PortoCem Bridge Loan. The repayment of the PortoCem Bridge Loan was treated as an extinguishment, and the Company recognized $25,010 of repayment penalty and unamortized deferred financing fees as loss on extinguishment of debt in the Consolidated Statements of Operations and Comprehensive (Loss) Income at the time of repayment. The Company incurred $6,301 of new third party fees in conjunction with the repayment of the PortoCem Bridge Loan and issuance of the PortoCem Debentures. As of December 31, 2024, total remaining unamortized deferred financing costs for the PortoCem Debentures was $6,301.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Financings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October 2023, certain of the Company's Brazilian subsidiaries entered into two long-term financing arrangements, fully funding the construction of the Company's power plant located in Pará, Brazil (the "Barcarena Power Plant"). The parent of the owner of the Barcarena Power Plant entered into an agreement for the issuance of up to $200 million of convertible debentures maturing in October 2028 ("Barcarena Debentures") and issued $180 million of the Barcarena Debentures prior to December 31, 2023. The remaining series may be issued upon the achievement of certain conditions precedent. Interest on the Barcarena Debentures is due quarterly, and interest accrues at an annual rate of 12.0%, increasing 1.25% each year after the third anniversary of issuance. The Company is able to prepay the Barcarena Debentures, subject to certain make-whole penalties, and the Company is required to utilize certain excess cash flows from the Company's Brazilian operations to prepay principal.</w:t>
      </w:r>
    </w:p>
    <w:p>
      <w:pPr>
        <w:spacing w:after="0" w:line="209" w:lineRule="exact"/>
        <w:rPr>
          <w:sz w:val="20"/>
          <w:szCs w:val="20"/>
          <w:color w:val="auto"/>
        </w:rPr>
      </w:pPr>
    </w:p>
    <w:p>
      <w:pPr>
        <w:ind w:right="280"/>
        <w:spacing w:after="0" w:line="309" w:lineRule="auto"/>
        <w:rPr>
          <w:sz w:val="20"/>
          <w:szCs w:val="20"/>
          <w:color w:val="auto"/>
        </w:rPr>
      </w:pPr>
      <w:r>
        <w:rPr>
          <w:rFonts w:ascii="Times New Roman" w:cs="Times New Roman" w:eastAsia="Times New Roman" w:hAnsi="Times New Roman"/>
          <w:sz w:val="19"/>
          <w:szCs w:val="19"/>
          <w:color w:val="auto"/>
        </w:rPr>
        <w:t>The Barcarena Debentures are convertible into shares of one of the Company's indirect Brazilian subsidiaries on the maturity date at the creditors' option, based on the current fair value of this subsidiary's equity at the time of conversion.</w:t>
      </w:r>
    </w:p>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obligations under the Barcarena Debentures are guaranteed by certain indirect Brazilian subsidiaries that own the Barcarena Facility and the Santa Catarina Facility. NFE has also provided a parent company guarantee that will be released once the Barcarena Facility commences commercial operations. Brazilian subsidiaries guaranteeing these obligations are required to comply with customary affirmative and negative covenants, and the Barcarena Debentures also provides for customary events of default, prepayment and cure provisions.</w:t>
      </w:r>
    </w:p>
    <w:p>
      <w:pPr>
        <w:spacing w:after="0" w:line="20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The Company incurred $5,061 of structuring and other fees, and such fees were deferred as a reduction to the principal balance of the Barcarena Debentures. As of December 31, 2024 and 2023, the remaining unamortized deferred financing costs for the Barcarena Debentures were $3,085 and $4,975, respectively.</w:t>
      </w:r>
    </w:p>
    <w:p>
      <w:pPr>
        <w:spacing w:after="0" w:line="19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The owner of the Barcarena Power Plant entered into a credit agreement with BNDES, the Brazilian Development Bank (the "BNDES Credit Agreement"). The Company is able to borrow up to $355,566 under the BNDES Credit Agreement, segregated into three tranches based on the use of proceeds ("BNDES Term Loan"). The Company borrowed $344,735 under the BNDES Credit Agreement in 2024. Each tranche bears a different rate of interest ranging from 2.61% to 4.41% plus the fixed rate announced by BNDES. No principal payments are required until April 2026 and are due quarterly thereafter until maturity in 2045. Interest payments prior to April 2026 are made through an increase in the outstanding principal amount and are due quarterly thereafter.</w:t>
      </w:r>
    </w:p>
    <w:p>
      <w:pPr>
        <w:spacing w:after="0" w:line="21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The obligations under the BNDES Credit Agreement are guaranteed by certain indirect Brazilian subsidiaries that are constructing the Barcarena Power Plant, and are secured by the Barcarena Power Plant and receivables under the Barcarena Power Plant's PPAs. These Brazilian subsidiaries are required to comply with customary affirmative and negative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F-46</w:t>
      </w:r>
    </w:p>
    <w:p>
      <w:pPr>
        <w:sectPr>
          <w:pgSz w:w="12240" w:h="15840" w:orient="portrait"/>
          <w:cols w:equalWidth="0" w:num="1">
            <w:col w:w="9860"/>
          </w:cols>
          <w:pgMar w:left="1180" w:top="218" w:right="120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20"/>
          <w:szCs w:val="20"/>
          <w:color w:val="auto"/>
        </w:rPr>
        <w:t>covenants, and the BNDES Credit Agreement also provides for customary events of default, prepayment and cure provisions.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South Power 2029 Bonds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January 2022, NFE South Power Holdings Limited (“South Power”), a wholly owned subsidiary of NFE, entered into an agreement for the issuance of up to $285,000 secured bonds (“South Power 2029 Bonds”). The South Power 2029 Bonds are secured by, amongst other things, the Company’s combined heat and power plant in Clarendon, Jamaica (“CHP Plant”), and NFE has provided a guarantee of the obligations under the South Power 2029 Bonds. As of both December 31, 2024 and 2023, South Power had $221,824 of South Power 2029 Bonds issued and outstanding.</w:t>
      </w:r>
    </w:p>
    <w:p>
      <w:pPr>
        <w:spacing w:after="0" w:line="204"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20"/>
          <w:szCs w:val="20"/>
          <w:color w:val="auto"/>
        </w:rPr>
        <w:t>The South Power 2029 Bonds bear interest at an annual fixed rate of 6.50% and shall be partially repaid in quarterly installments beginning in August 2025 with the final repayment date in May 2029. Interest payments on outstanding principal balances are due quarterly.</w:t>
      </w:r>
    </w:p>
    <w:p>
      <w:pPr>
        <w:spacing w:after="0" w:line="19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South Power is required to comply with certain financial covenants as well as customary affirmative and negative covenants. The South Power 2029 Bonds also provide for customary events of default, prepayment and cure provisions. The Company was in compliance with all covenants as of December 31, 2024 and 2023.</w:t>
      </w:r>
    </w:p>
    <w:p>
      <w:pPr>
        <w:spacing w:after="0" w:line="19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As of December 31, 2024 and 2023, the remaining unamortized deferred financing costs for the South Power 2029 Bonds was $3,953 and $4,832,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Turbine Financing</w:t>
      </w:r>
    </w:p>
    <w:p>
      <w:pPr>
        <w:spacing w:after="0" w:line="2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In May 2024, the Company executed a loan agreement with a lender to borrow $148,500 under a promissory note secured by certain turbines owned by a wholly-owned subsidiary of the Company (the “Turbine Financing”). The Turbine Financing bears interest at 10.30%, and the principal is partially repayable in monthly installments over the 36-month term of the loan with the balance due upon maturity in June 2027.</w:t>
      </w:r>
    </w:p>
    <w:p>
      <w:pPr>
        <w:spacing w:after="0" w:line="20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The Turbine Financing contains usual and customary representations and warranties, and usual and customary affirmative and negative covenants. The Turbine Financing does not contain any restrictive financial covenants. The Company was required to pay a deposit of approximately $5,963 that will be held by the lender throughout the term of the borrowing which was recorded in Other non-current assets, net on the Consolidated Balance Sheets.</w:t>
      </w: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Proceeds received were net of upfront fees due to the lender, and through December 31, 2024 the Company has incurred $2,136 in origination, structuring and other fees, associated with entry into the Turbine Financing. As of December 31, 2024, total remaining unamortized deferred financing costs for the Turbine Financing was $1,753.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EB-5 Loan Agreement</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On July 21, 2023, the Company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$100,000,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the obligations under the EB-5 Loan Agreement. In the year ended December 31,</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ectPr>
          <w:pgSz w:w="12240" w:h="15840" w:orient="portrait"/>
          <w:cols w:equalWidth="0" w:num="1">
            <w:col w:w="9880"/>
          </w:cols>
          <w:pgMar w:left="1180" w:top="218" w:right="1180" w:bottom="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2023, $62,928 was funded under the EB-5 Loan Agreement, and the remaining availability of $37,072 was funded during the year ended December 31, 2024.</w:t>
      </w:r>
    </w:p>
    <w:p>
      <w:pPr>
        <w:spacing w:after="0" w:line="181" w:lineRule="exact"/>
        <w:rPr>
          <w:sz w:val="20"/>
          <w:szCs w:val="20"/>
          <w:color w:val="auto"/>
        </w:rPr>
      </w:pPr>
    </w:p>
    <w:p>
      <w:pPr>
        <w:ind w:right="640"/>
        <w:spacing w:after="0" w:line="309" w:lineRule="auto"/>
        <w:rPr>
          <w:sz w:val="20"/>
          <w:szCs w:val="20"/>
          <w:color w:val="auto"/>
        </w:rPr>
      </w:pPr>
      <w:r>
        <w:rPr>
          <w:rFonts w:ascii="Times New Roman" w:cs="Times New Roman" w:eastAsia="Times New Roman" w:hAnsi="Times New Roman"/>
          <w:sz w:val="19"/>
          <w:szCs w:val="19"/>
          <w:color w:val="auto"/>
        </w:rPr>
        <w:t>The EB-5 Loan Agreement contains usual and customary representations and warranties, and usual and customary affirmative and negative covenants. The EB-5 Loan Agreement does not contain any restrictive financial covenants.</w:t>
      </w:r>
    </w:p>
    <w:p>
      <w:pPr>
        <w:spacing w:after="0" w:line="15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auto"/>
        </w:rPr>
        <w:t>The Company has incurred $1,728 in origination, structuring and other fees associated with entry into the EB-5 Loan Agreement. As of December 31, 2024 and 2023, the total remaining unamortized deferred financing costs for the EB-5 Loan Agreement was $1,353 and $1,314,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Equipment Notes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In June 2023, the Company executed a Master Loan and Security Agreement with a lender to borrow up to $200,000 under promissory notes secured by certain turbines acquired in the first quarter of 2023 to support our grid stabilization project in Puerto Rico (the “Equipment Notes”). During 2023, the Company borrowed the full capacity bearing interest at approximately 7.68%, and the principal was partially repayable in monthly installments over the 36-month term of the loan with the balance due upon maturity in July 2026.</w:t>
      </w:r>
    </w:p>
    <w:p>
      <w:pPr>
        <w:spacing w:after="0" w:line="2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In conjunction with the execution of the APA to sell certain turbines to PREPA in March 2024 (Note 5), the Company repaid the Equipment Notes in full, releasing any liens held on the turbines prior to their sale. The balance outstanding as of the repayment date was $188,431, and the Company incurred a prepayment premium of 3%. The prepayment premium and any unamortized financing costs of $7,879 were recognized as Loss on extinguishment of debt, net in the Consolidated Statements of Operations and Comprehensive (Loss)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years ended December 31, 2024, 2023 and 2022 consisted of the following:</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58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77"/>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per contractual rates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561,477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339,631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227,960</w:t>
            </w:r>
          </w:p>
        </w:tc>
      </w:tr>
      <w:tr>
        <w:trPr>
          <w:trHeight w:val="300"/>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on Vessel Financing Obligation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192,107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211,745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91,405</w:t>
            </w:r>
          </w:p>
        </w:tc>
      </w:tr>
      <w:tr>
        <w:trPr>
          <w:trHeight w:val="300"/>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Amortization of debt issuance costs, premiums and discounts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11,098</w:t>
            </w: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incurred on finance lease obligations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w:t>
            </w:r>
          </w:p>
        </w:tc>
      </w:tr>
      <w:tr>
        <w:trPr>
          <w:trHeight w:val="27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 costs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814,773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573,651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331,315</w:t>
            </w: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Capitalized interest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486,396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295,809</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94,454</w:t>
            </w:r>
          </w:p>
        </w:tc>
      </w:tr>
      <w:tr>
        <w:trPr>
          <w:trHeight w:val="260"/>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328,377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277,842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r>
      <w:tr>
        <w:trPr>
          <w:trHeight w:val="20"/>
        </w:trPr>
        <w:tc>
          <w:tcPr>
            <w:tcW w:w="5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3">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auto"/>
        </w:rPr>
        <w:t>Interest expense on the Vessel Financing Obligations includes non-cash expense of $120,962, $169,641, and $84,517 for the years ended December 31, 2024, 2023, and 2022, respectively, related to payments received by Energos from third party charterers.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Other Long-Term Liabilities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2023, Other long-term liabilities consisted of the following:</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F-48</w:t>
      </w:r>
    </w:p>
    <w:p>
      <w:pPr>
        <w:sectPr>
          <w:pgSz w:w="12240" w:h="15840" w:orient="portrait"/>
          <w:cols w:equalWidth="0" w:num="1">
            <w:col w:w="9900"/>
          </w:cols>
          <w:pgMar w:left="1180" w:top="218" w:right="1160"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6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Guarantee liability</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115,359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Derivative liabilities</w:t>
            </w: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24,364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18,383</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Contract liability (Note 7)</w:t>
            </w: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31,698</w:t>
            </w:r>
          </w:p>
        </w:tc>
      </w:tr>
      <w:tr>
        <w:trPr>
          <w:trHeight w:val="30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5,546</w:t>
            </w:r>
          </w:p>
        </w:tc>
      </w:tr>
      <w:tr>
        <w:trPr>
          <w:trHeight w:val="260"/>
        </w:trPr>
        <w:tc>
          <w:tcPr>
            <w:tcW w:w="6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other long-term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166,358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55,627</w:t>
            </w:r>
          </w:p>
        </w:tc>
      </w:tr>
      <w:tr>
        <w:trPr>
          <w:trHeight w:val="20"/>
        </w:trPr>
        <w:tc>
          <w:tcPr>
            <w:tcW w:w="6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215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4">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2159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5">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324600" cy="241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6">
                      <a:extLst>
                        <a:ext uri="{28A0092B-C50C-407E-A947-70E740481C1C}"/>
                      </a:extLst>
                    </a:blip>
                    <a:srcRect/>
                    <a:stretch>
                      <a:fillRect/>
                    </a:stretch>
                  </pic:blipFill>
                  <pic:spPr bwMode="auto">
                    <a:xfrm>
                      <a:off x="0" y="0"/>
                      <a:ext cx="6324600" cy="241300"/>
                    </a:xfrm>
                    <a:prstGeom prst="rect">
                      <a:avLst/>
                    </a:prstGeom>
                    <a:noFill/>
                  </pic:spPr>
                </pic:pic>
              </a:graphicData>
            </a:graphic>
          </wp:anchor>
        </w:drawing>
      </w:r>
    </w:p>
    <w:p>
      <w:pPr>
        <w:spacing w:after="0" w:line="2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In the fourth quarter of 2024, the Company novated an LNG supply contact to a customer (Note 7). In conjunction with this novation, the Company agreed to guarantee the performance of the LNG supplier, and the fair value of the guarantee of $115,539 was recognized. In exchange for this guarantee, the customer will make payments to the Company between the third quarter of 2026 through the first quarter of 2028 totaling $126,668 (Note 17). The value of the guarantee will be recognized as Contract novation income in the Consolidated Statements of Operations and Comprehensive (Loss) Income as these installment payments become due.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Income Taxes</w:t>
      </w:r>
    </w:p>
    <w:p>
      <w:pPr>
        <w:spacing w:after="0" w:line="25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The components of the Company’s income (loss) before income taxes for the years ended December 31, 2024, 2023 and 2022 were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287,768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551,500</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(11,407)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376,621</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(490,153)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664,389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61,347</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7">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 is comprised of the following for the years ended December 31, 2024, 2023 and 2022:</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1"/>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47,198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37,831</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53,377</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118,266</w:t>
            </w:r>
          </w:p>
        </w:tc>
      </w:tr>
      <w:tr>
        <w:trPr>
          <w:trHeight w:val="277"/>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current tax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100,575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156,097</w:t>
            </w: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5,794</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16,857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10,908</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(285,330)</w:t>
            </w:r>
          </w:p>
        </w:tc>
      </w:tr>
      <w:tr>
        <w:trPr>
          <w:trHeight w:val="28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deferred tax (benefit)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14,938</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(279,536)</w:t>
            </w: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provision for (benefit from) income taxes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115,513</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(123,439)</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-1545590</wp:posOffset>
            </wp:positionV>
            <wp:extent cx="6324600" cy="1565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8">
                      <a:extLst>
                        <a:ext uri="{28A0092B-C50C-407E-A947-70E740481C1C}"/>
                      </a:extLst>
                    </a:blip>
                    <a:srcRect/>
                    <a:stretch>
                      <a:fillRect/>
                    </a:stretch>
                  </pic:blipFill>
                  <pic:spPr bwMode="auto">
                    <a:xfrm>
                      <a:off x="0" y="0"/>
                      <a:ext cx="6324600" cy="1565275"/>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ectPr>
          <w:pgSz w:w="12240" w:h="15840" w:orient="portrait"/>
          <w:cols w:equalWidth="0" w:num="1">
            <w:col w:w="9900"/>
          </w:cols>
          <w:pgMar w:left="1180" w:top="218" w:right="1160" w:bottom="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Effective Tax Rate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tax rate is as follows: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1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tax at the statutory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71.1</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(25.5)</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US taxation on foreign earnings</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(7.5)</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25.5</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Impact from foreign operations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12.9</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(10.7)</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(155.8)</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(22.9)</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attributable to non-controlling interest</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1.3</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Effects of share-based compensation</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(39.8)</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taxes</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(0.2)</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12.6</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tax credits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9.4</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(0.3)</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Sergipe Sale</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(165.4)</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Outside basis differences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(3.2)</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Changes in deferred taxes and payable</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14.0</w:t>
            </w:r>
          </w:p>
        </w:tc>
        <w:tc>
          <w:tcPr>
            <w:tcW w:w="6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6.2</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-2698115</wp:posOffset>
            </wp:positionV>
            <wp:extent cx="6324600" cy="2717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9">
                      <a:extLst>
                        <a:ext uri="{28A0092B-C50C-407E-A947-70E740481C1C}"/>
                      </a:extLst>
                    </a:blip>
                    <a:srcRect/>
                    <a:stretch>
                      <a:fillRect/>
                    </a:stretch>
                  </pic:blipFill>
                  <pic:spPr bwMode="auto">
                    <a:xfrm>
                      <a:off x="0" y="0"/>
                      <a:ext cx="6324600" cy="2717800"/>
                    </a:xfrm>
                    <a:prstGeom prst="rect">
                      <a:avLst/>
                    </a:prstGeom>
                    <a:noFill/>
                  </pic:spPr>
                </pic:pic>
              </a:graphicData>
            </a:graphic>
          </wp:anchor>
        </w:drawing>
      </w:r>
    </w:p>
    <w:p>
      <w:pPr>
        <w:spacing w:after="0" w:line="2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 Company has certain operations in jurisdictions that are not subject to income taxes or are subject to preferential tax rates. The effect of these earnings taxed at zero percent, as well as the impact of such preferential tax rates, are included in the foreign rate differential.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As of December 31, 2024, various countries have implemented the legislation, however, the legislation has not resulted in a material change to the income tax provision for the year ended December 31, 2024. As additional jurisdictions enact such legislation, the effective tax rate and cash tax payments could increase in future years.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F-50</w:t>
      </w:r>
    </w:p>
    <w:p>
      <w:pPr>
        <w:sectPr>
          <w:pgSz w:w="12240" w:h="15840" w:orient="portrait"/>
          <w:cols w:equalWidth="0" w:num="1">
            <w:col w:w="9900"/>
          </w:cols>
          <w:pgMar w:left="1180" w:top="218" w:right="1160" w:bottom="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auto"/>
        </w:rPr>
        <w:t>The tax effect of each type of temporary difference and carryforward that give rise to a significant deferred tax asset or liability as of December 31, 2024 and 2023 are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49,870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37,735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IRC Section 163(j) interest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Federal and state net operating loss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Foreign net operating loss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256,863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123,386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Debt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362,942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289,820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106,293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47,043</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77,412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24,214</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944,825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631,312</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(450,072)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(188,036)</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494,753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443,276</w:t>
            </w:r>
          </w:p>
        </w:tc>
      </w:tr>
      <w:tr>
        <w:trPr>
          <w:trHeight w:val="600"/>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(360,340)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(343,247)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(107,919)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Intangibles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(20,714)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Capitalized costs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(5,933)</w:t>
            </w:r>
          </w:p>
        </w:tc>
      </w:tr>
      <w:tr>
        <w:trPr>
          <w:trHeight w:val="28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(565,253)</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(477,813)</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(34,537)</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-4031615</wp:posOffset>
            </wp:positionV>
            <wp:extent cx="6324600" cy="4051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0">
                      <a:extLst>
                        <a:ext uri="{28A0092B-C50C-407E-A947-70E740481C1C}"/>
                      </a:extLst>
                    </a:blip>
                    <a:srcRect/>
                    <a:stretch>
                      <a:fillRect/>
                    </a:stretch>
                  </pic:blipFill>
                  <pic:spPr bwMode="auto">
                    <a:xfrm>
                      <a:off x="0" y="0"/>
                      <a:ext cx="6324600" cy="40513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Attributes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As of December 31, 2024, NFE has approximately $2,584 of federal and $2,927 of state net operating loss carry forwards. The federal and state net operating losses are generally allowed to be carried forward indefinitely and can offset up to 80 percent of future taxable income.</w:t>
      </w:r>
    </w:p>
    <w:p>
      <w:pPr>
        <w:spacing w:after="0" w:line="19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The Company’s net operating loss carryforwards are subject to an annual limitation of $5,431 under Section 382 of the Internal Revenue Code.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Jurisdictions</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Company’s foreign subsidiaries file income tax returns in certain foreign jurisdictions. As of December 31, 2024, the Company’s foreign subsidiaries have approximately $938,763 of net operating loss carry forwards, of which $254,294 will expire, if unused between 2028 and 2041, and the remaining $684,469 are allowed to be carried forward indefinitely.</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F-51</w:t>
      </w:r>
    </w:p>
    <w:p>
      <w:pPr>
        <w:sectPr>
          <w:pgSz w:w="12240" w:h="15840" w:orient="portrait"/>
          <w:cols w:equalWidth="0" w:num="1">
            <w:col w:w="9900"/>
          </w:cols>
          <w:pgMar w:left="1180" w:top="218" w:right="1160"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Allowances</w:t>
      </w:r>
    </w:p>
    <w:p>
      <w:pPr>
        <w:spacing w:after="0" w:line="25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valuation allowance on deferred tax assets for the years ended December 31, 2024 and 2023:</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188,036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130,649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262,036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57,387</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450,072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188,036</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1">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The change in valuation allowance was mainly due to increase in deferred tax asset related to debt extinguishment in the U.S. and increase in net operating losses in foreign jurisdictions for the year ended December 31, 2024.</w:t>
      </w:r>
    </w:p>
    <w:p>
      <w:pPr>
        <w:spacing w:after="0" w:line="1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NFE recorded a valuation allowance against its US federal and state deferred tax assets to reduce the net carrying value to an amount that it believes is more likely than not to be realized. The Company concluded, based on the weight of all available positive and negative evidence, those deferred tax assets are not more likely than not to be realized and accordingly, a valuation allowance has been recorded on this deferred tax asset for the amount not supported by reversing taxable temporary differences.</w:t>
      </w:r>
    </w:p>
    <w:p>
      <w:pPr>
        <w:spacing w:after="0" w:line="20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The Company recorded a valuation allowance against certain foreign deferred tax assets to reduce the net carrying value to an amount that it believes is more likely than not to be realized, generally based on cumulative losses in certain development stage jurisdictions.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 Taxes</w:t>
      </w:r>
    </w:p>
    <w:p>
      <w:pPr>
        <w:spacing w:after="0" w:line="2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unrecognized tax benefits for the years ended December 31, 2024 and 2023:</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26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1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period</w:t>
            </w:r>
          </w:p>
        </w:tc>
        <w:tc>
          <w:tcPr>
            <w:tcW w:w="94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Recognized in the income tax provision</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94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2">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Examinations</w:t>
      </w:r>
    </w:p>
    <w:p>
      <w:pPr>
        <w:spacing w:after="0" w:line="2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Company and its subsidiaries file income tax returns in the U.S. federal and various state and local jurisdictions, as well as various foreign jurisdictions. The Company filed its first corporate U.S. federal and state income tax returns for the period ended December 31, 2019. The U.S. Federal and state income tax returns filed for tax years 2021, 2022 and 2023 are open for examination. The Company is generally open to tax examinations in other foreign jurisdictions for a period of four to six years from the filing of the income tax return.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Undistributed Earnings</w:t>
      </w:r>
    </w:p>
    <w:p>
      <w:pPr>
        <w:spacing w:after="0" w:line="2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 Company has not recorded a deferred tax liability for undistributed earnings for any controlled foreign corporation as of December 31, 2024. The Company has unremitted earnings in certain jurisdictions where distributions can be made at no net tax cost. From time to time, the Company may remit these earnings. The Company has the ability and intent to indefinitely reinvest any earnings that cannot be remitted at no net tax cost. It is not practicable to estimate the amount of any additional taxes which may be payable on these undistributed earnings.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Preferential Tax Rates</w:t>
      </w:r>
    </w:p>
    <w:p>
      <w:pPr>
        <w:spacing w:after="0" w:line="25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The Company has subsidiaries incorporated in Bermuda. Under current Bermuda law, the Company is not required to pay taxes in Bermuda on either income or capital gains. The Company has received an undertaking from the Bermuda</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F-52</w:t>
      </w:r>
    </w:p>
    <w:p>
      <w:pPr>
        <w:sectPr>
          <w:pgSz w:w="12240" w:h="15840" w:orient="portrait"/>
          <w:cols w:equalWidth="0" w:num="1">
            <w:col w:w="9900"/>
          </w:cols>
          <w:pgMar w:left="1180" w:top="218" w:right="116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government that, in the event of income or capital gain taxes being imposed, it will be exempted from such taxes until 2035. On December 27, 2023, Bermuda enacted the Bermuda Corporate Income Tax Act 2023, which institutes a corporate income tax rate of 15% effective for tax years beginning January 1, 2025. As a result, such tax exemptions will not be valid beyond such subsidiaries' taxable year ending December 31, 2024, the impact of which has been included in the tax provision and was not material.</w:t>
      </w:r>
    </w:p>
    <w:p>
      <w:pPr>
        <w:spacing w:after="0" w:line="2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Company’s Puerto Rican operations received tax decrees from the Puerto Rico government that affords the Company a 4% tax rate on qualifying income. The effect of the earnings taxed at a 4% foreign tax rate is included in the foreign rate differential line in the Company’s effective tax rate. For the years ended December 31, 2024 and 2023, the income tax benefits attributable to the tax decrees, before taking into consideration the impact on U.S. taxation and the associated U.S. foreign tax credits, are estimated to be approximately $142,776 ($(0.65) per share of issued and outstanding Class A common stock on a diluted basis) and $164,668 ($(0.80) per share of issued and outstanding Class A common stock on a diluted basis),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23. Commitments and contingencies</w:t>
      </w:r>
    </w:p>
    <w:p>
      <w:pPr>
        <w:spacing w:after="0" w:line="2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The Company is subject to certain legal and regulatory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24. Earnings per share</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0"/>
        </w:trPr>
        <w:tc>
          <w:tcPr>
            <w:tcW w:w="5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58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Basic</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(242,387)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0" w:type="dxa"/>
            <w:vAlign w:val="bottom"/>
          </w:tcPr>
          <w:p>
            <w:pPr>
              <w:spacing w:after="0"/>
              <w:rPr>
                <w:sz w:val="1"/>
                <w:szCs w:val="1"/>
                <w:color w:val="auto"/>
              </w:rPr>
            </w:pPr>
          </w:p>
        </w:tc>
      </w:tr>
      <w:tr>
        <w:trPr>
          <w:trHeight w:val="30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(loss) income attributable to non-controlling interests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9,693</w:t>
            </w:r>
          </w:p>
        </w:tc>
        <w:tc>
          <w:tcPr>
            <w:tcW w:w="0" w:type="dxa"/>
            <w:vAlign w:val="bottom"/>
          </w:tcPr>
          <w:p>
            <w:pPr>
              <w:spacing w:after="0"/>
              <w:rPr>
                <w:sz w:val="1"/>
                <w:szCs w:val="1"/>
                <w:color w:val="auto"/>
              </w:rPr>
            </w:pPr>
          </w:p>
        </w:tc>
      </w:tr>
      <w:tr>
        <w:trPr>
          <w:trHeight w:val="30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Convertible preferred stock dividend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Deemed dividend from the preferred stock exchange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(17,605)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(loss) income attributable to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(270,106)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547,882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Weighted-average shares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217,578,487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205,942,837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209,501,298</w:t>
            </w:r>
          </w:p>
        </w:tc>
        <w:tc>
          <w:tcPr>
            <w:tcW w:w="0" w:type="dxa"/>
            <w:vAlign w:val="bottom"/>
          </w:tcPr>
          <w:p>
            <w:pPr>
              <w:spacing w:after="0"/>
              <w:rPr>
                <w:sz w:val="1"/>
                <w:szCs w:val="1"/>
                <w:color w:val="auto"/>
              </w:rPr>
            </w:pPr>
          </w:p>
        </w:tc>
      </w:tr>
      <w:tr>
        <w:trPr>
          <w:trHeight w:val="26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(loss) income per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5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(242,387)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0" w:type="dxa"/>
            <w:vAlign w:val="bottom"/>
          </w:tcPr>
          <w:p>
            <w:pPr>
              <w:spacing w:after="0"/>
              <w:rPr>
                <w:sz w:val="1"/>
                <w:szCs w:val="1"/>
                <w:color w:val="auto"/>
              </w:rPr>
            </w:pPr>
          </w:p>
        </w:tc>
      </w:tr>
      <w:tr>
        <w:trPr>
          <w:trHeight w:val="30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(loss) income attributable to non-controlling interests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9,693</w:t>
            </w:r>
          </w:p>
        </w:tc>
        <w:tc>
          <w:tcPr>
            <w:tcW w:w="0" w:type="dxa"/>
            <w:vAlign w:val="bottom"/>
          </w:tcPr>
          <w:p>
            <w:pPr>
              <w:spacing w:after="0"/>
              <w:rPr>
                <w:sz w:val="1"/>
                <w:szCs w:val="1"/>
                <w:color w:val="auto"/>
              </w:rPr>
            </w:pPr>
          </w:p>
        </w:tc>
      </w:tr>
      <w:tr>
        <w:trPr>
          <w:trHeight w:val="30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Convertible preferred stock dividend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Deemed dividend from the preferred stock exchange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Adjustments attributable to dilutive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(loss) income attributable to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(272,524)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547,146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Weighted-average shares - diluted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218,622,419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206,481,977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209,854,413</w:t>
            </w:r>
          </w:p>
        </w:tc>
        <w:tc>
          <w:tcPr>
            <w:tcW w:w="0" w:type="dxa"/>
            <w:vAlign w:val="bottom"/>
          </w:tcPr>
          <w:p>
            <w:pPr>
              <w:spacing w:after="0"/>
              <w:rPr>
                <w:sz w:val="1"/>
                <w:szCs w:val="1"/>
                <w:color w:val="auto"/>
              </w:rPr>
            </w:pPr>
          </w:p>
        </w:tc>
      </w:tr>
      <w:tr>
        <w:trPr>
          <w:trHeight w:val="260"/>
        </w:trPr>
        <w:tc>
          <w:tcPr>
            <w:tcW w:w="5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(loss)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-4241165</wp:posOffset>
            </wp:positionV>
            <wp:extent cx="6324600" cy="4260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3">
                      <a:extLst>
                        <a:ext uri="{28A0092B-C50C-407E-A947-70E740481C1C}"/>
                      </a:extLst>
                    </a:blip>
                    <a:srcRect/>
                    <a:stretch>
                      <a:fillRect/>
                    </a:stretch>
                  </pic:blipFill>
                  <pic:spPr bwMode="auto">
                    <a:xfrm>
                      <a:off x="0" y="0"/>
                      <a:ext cx="6324600" cy="426085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F-53</w:t>
      </w:r>
    </w:p>
    <w:p>
      <w:pPr>
        <w:sectPr>
          <w:pgSz w:w="12240" w:h="15840" w:orient="portrait"/>
          <w:cols w:equalWidth="0" w:num="1">
            <w:col w:w="9900"/>
          </w:cols>
          <w:pgMar w:left="1180" w:top="218" w:right="1160" w:bottom="0" w:gutter="0" w:footer="0" w:header="0"/>
          <w:type w:val="continuous"/>
        </w:sectPr>
      </w:pPr>
    </w:p>
    <w:bookmarkStart w:id="155" w:name="page156"/>
    <w:bookmarkEnd w:id="15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160"/>
        <w:spacing w:after="0" w:line="281" w:lineRule="auto"/>
        <w:rPr>
          <w:sz w:val="20"/>
          <w:szCs w:val="20"/>
          <w:color w:val="auto"/>
        </w:rPr>
      </w:pPr>
      <w:r>
        <w:rPr>
          <w:rFonts w:ascii="Times New Roman" w:cs="Times New Roman" w:eastAsia="Times New Roman" w:hAnsi="Times New Roman"/>
          <w:sz w:val="20"/>
          <w:szCs w:val="20"/>
          <w:color w:val="auto"/>
        </w:rPr>
        <w:t>The following table presents potentially dilutive securities excluded from the computation of diluted net (loss) income per share for the years ended December 31, 2024, 2023 and 2022 because its effects would have been anti-dilutive.</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160" w:type="dxa"/>
            <w:vAlign w:val="bottom"/>
            <w:tcBorders>
              <w:bottom w:val="single" w:sz="8" w:color="auto"/>
            </w:tcBorders>
            <w:gridSpan w:val="5"/>
          </w:tcPr>
          <w:p>
            <w:pPr>
              <w:jc w:val="center"/>
              <w:ind w:left="78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Unvested RSUs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1,579,802</w:t>
            </w:r>
          </w:p>
        </w:tc>
        <w:tc>
          <w:tcPr>
            <w:tcW w:w="60" w:type="dxa"/>
            <w:vAlign w:val="bottom"/>
          </w:tcPr>
          <w:p>
            <w:pPr>
              <w:spacing w:after="0"/>
              <w:rPr>
                <w:sz w:val="24"/>
                <w:szCs w:val="24"/>
                <w:color w:val="auto"/>
              </w:rPr>
            </w:pPr>
          </w:p>
        </w:tc>
        <w:tc>
          <w:tcPr>
            <w:tcW w:w="180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2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Series B convertible preferred stock</w:t>
            </w:r>
            <w:r>
              <w:rPr>
                <w:rFonts w:ascii="Times New Roman" w:cs="Times New Roman" w:eastAsia="Times New Roman" w:hAnsi="Times New Roman"/>
                <w:sz w:val="26"/>
                <w:szCs w:val="26"/>
                <w:color w:val="auto"/>
                <w:vertAlign w:val="superscript"/>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81,746</w:t>
            </w:r>
          </w:p>
        </w:tc>
        <w:tc>
          <w:tcPr>
            <w:tcW w:w="60" w:type="dxa"/>
            <w:vAlign w:val="bottom"/>
          </w:tcPr>
          <w:p>
            <w:pPr>
              <w:spacing w:after="0"/>
              <w:rPr>
                <w:sz w:val="24"/>
                <w:szCs w:val="24"/>
                <w:color w:val="auto"/>
              </w:rPr>
            </w:pPr>
          </w:p>
        </w:tc>
        <w:tc>
          <w:tcPr>
            <w:tcW w:w="180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4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Equity agreement shares</w:t>
            </w:r>
            <w:r>
              <w:rPr>
                <w:rFonts w:ascii="Times New Roman" w:cs="Times New Roman" w:eastAsia="Times New Roman" w:hAnsi="Times New Roman"/>
                <w:sz w:val="26"/>
                <w:szCs w:val="26"/>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458,696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-615315</wp:posOffset>
            </wp:positionV>
            <wp:extent cx="6311900" cy="596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4">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09" w:lineRule="exact"/>
        <w:rPr>
          <w:sz w:val="20"/>
          <w:szCs w:val="20"/>
          <w:color w:val="auto"/>
        </w:rPr>
      </w:pPr>
    </w:p>
    <w:p>
      <w:pPr>
        <w:ind w:left="10" w:right="260" w:hanging="10"/>
        <w:spacing w:after="0" w:line="234" w:lineRule="auto"/>
        <w:tabs>
          <w:tab w:leader="none" w:pos="226"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number of unconverted Series B convertible preferred shares as of December 31, 2024. In December 2024, the Company received an irrevocable conversion notice for 15,000 shares. Refer to Note 4 for terms of conversion features.</w:t>
      </w:r>
    </w:p>
    <w:p>
      <w:pPr>
        <w:ind w:left="10" w:right="880" w:hanging="10"/>
        <w:spacing w:after="0" w:line="217" w:lineRule="auto"/>
        <w:tabs>
          <w:tab w:leader="none" w:pos="226"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Class A common stock that would be issued in relation to an agreement to issue shares executed in conjunction with a prior year asset acquisition.</w:t>
      </w:r>
    </w:p>
    <w:p>
      <w:pPr>
        <w:spacing w:after="0" w:line="222"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2024, the Company paid dividends on the Series A Convertible Preferred Stock of $2,493. After the exchange of the Series A Convertible Preferred Shares with the Series B Convertible Preferred Shares in October 2024, the Company paid a dividend of $969 during the fourth quarter of 2024 (Refer to Note 4).</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25. Stockholders' equity</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Equity issuance</w:t>
      </w:r>
    </w:p>
    <w:p>
      <w:pPr>
        <w:spacing w:after="0" w:line="254" w:lineRule="exact"/>
        <w:rPr>
          <w:sz w:val="20"/>
          <w:szCs w:val="20"/>
          <w:color w:val="auto"/>
        </w:rPr>
      </w:pPr>
    </w:p>
    <w:p>
      <w:pPr>
        <w:ind w:left="10" w:right="60"/>
        <w:spacing w:after="0" w:line="255" w:lineRule="auto"/>
        <w:rPr>
          <w:sz w:val="20"/>
          <w:szCs w:val="20"/>
          <w:color w:val="auto"/>
        </w:rPr>
      </w:pPr>
      <w:r>
        <w:rPr>
          <w:rFonts w:ascii="Times New Roman" w:cs="Times New Roman" w:eastAsia="Times New Roman" w:hAnsi="Times New Roman"/>
          <w:sz w:val="20"/>
          <w:szCs w:val="20"/>
          <w:color w:val="auto"/>
        </w:rPr>
        <w:t>On October 1, 2024, the Company entered into an Underwriting Agreement with several underwriters to issue and sell 46,349,942 shares of the Company's Class A common stock, at a purchase price to the public of $8.63 per share, less underwriting discounts and commissions, in a registered public offering (the "Equity Offering"). The Company's Chief Executive Officer, Wesley R. Edens, agreed to purchase 5,793,742 shares at the public offering price per share and on the same terms as the other purchasers in the Equity Offering. The Equity Offering closed on October 2, 2024. The Company received net proceeds of approximately $386,583 after underwriters' discounts and commissions and the estimated offering expenses payable by the Company.</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54" w:lineRule="exact"/>
        <w:rPr>
          <w:sz w:val="20"/>
          <w:szCs w:val="20"/>
          <w:color w:val="auto"/>
        </w:rPr>
      </w:pPr>
    </w:p>
    <w:p>
      <w:pPr>
        <w:ind w:left="10" w:right="140"/>
        <w:spacing w:after="0" w:line="256" w:lineRule="auto"/>
        <w:rPr>
          <w:sz w:val="20"/>
          <w:szCs w:val="20"/>
          <w:color w:val="auto"/>
        </w:rPr>
      </w:pPr>
      <w:r>
        <w:rPr>
          <w:rFonts w:ascii="Times New Roman" w:cs="Times New Roman" w:eastAsia="Times New Roman" w:hAnsi="Times New Roman"/>
          <w:sz w:val="20"/>
          <w:szCs w:val="20"/>
          <w:color w:val="auto"/>
        </w:rPr>
        <w:t>The Company declared dividends of $0.10 per share totaling $61,517 during the year ended December 31, 2024, of which $41,010 have been paid. Under certain intercompany agreements entered into in conjunction with the Refinancing Transactions completed in the fourth quarter of 2024, New Fortress Energy Inc. is no longer permitted to pay dividends to shareholders. The Company paid quarterly dividends totaling $81,976 during the year ended December 31, 2023 representing $0.10 per Class A share. During 2022, the Company’s Board of Directors approved an update to its dividend policy and declared a dividend of $626,310, representing $3.00 per Class A share, which was paid in January 2023.</w:t>
      </w:r>
    </w:p>
    <w:p>
      <w:pPr>
        <w:spacing w:after="0" w:line="208"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During each of the years ended December 31, 2024, 2023, and 2022, the Company paid dividends of $12,076 to holders of Golar LNG Partners LP's ("GMLP") 8.75% Series A Cumulative Redeemable Preferred Units (“GMLP Preferred Units”). As these equity interests have been issued by the Company’s consolidated subsidiaries, the value of the GMLP Preferred Units is recognized as non-controlling interest in the consolidated financial statements.</w:t>
      </w:r>
    </w:p>
    <w:p>
      <w:pPr>
        <w:spacing w:after="0" w:line="200" w:lineRule="exact"/>
        <w:rPr>
          <w:sz w:val="20"/>
          <w:szCs w:val="20"/>
          <w:color w:val="auto"/>
        </w:rPr>
      </w:pPr>
    </w:p>
    <w:p>
      <w:pPr>
        <w:ind w:left="10" w:right="80"/>
        <w:spacing w:after="0" w:line="268" w:lineRule="auto"/>
        <w:rPr>
          <w:sz w:val="20"/>
          <w:szCs w:val="20"/>
          <w:color w:val="auto"/>
        </w:rPr>
      </w:pPr>
      <w:r>
        <w:rPr>
          <w:rFonts w:ascii="Times New Roman" w:cs="Times New Roman" w:eastAsia="Times New Roman" w:hAnsi="Times New Roman"/>
          <w:sz w:val="20"/>
          <w:szCs w:val="20"/>
          <w:color w:val="auto"/>
        </w:rPr>
        <w:t xml:space="preserve">Upon the sale of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xml:space="preserve"> (Refer to Note 12), one of the Company's non-wholly owned subsidiaries paid a dividend using proceeds from the sale. The dividend of $8,662 paid to the other shareholder in this subsidiary was recognized as a reduction to non-controlling interest during the first quarter of 2024.</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F-54</w:t>
      </w:r>
    </w:p>
    <w:p>
      <w:pPr>
        <w:sectPr>
          <w:pgSz w:w="12240" w:h="15840" w:orient="portrait"/>
          <w:cols w:equalWidth="0" w:num="1">
            <w:col w:w="9910"/>
          </w:cols>
          <w:pgMar w:left="1170" w:top="218" w:right="116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26. Share-based compensation</w:t>
      </w:r>
    </w:p>
    <w:p>
      <w:pPr>
        <w:spacing w:after="0" w:line="2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Company has granted RSUs to select officers, employees and certain non-employees under the Incentive Plan. The fair value of RSUs on the grant date is estimated based on the closing price of the underlying shares on the grant date. The following table summarizes the RSU activity for the year ended December 31, 2024:</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Weighted-</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Restricted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grant date</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fair</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Stock</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value per</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share</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Non-vested RSUs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32,327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27.12</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2,786,112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32.66</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(1,147,275)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32.64</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Non-vested RSUs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1,579,802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5">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8"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auto"/>
        </w:rPr>
        <w:t>The non-vested RSUs vest over periods from 10 months to approximately two years following the grant date. The weighted-average remaining vesting period of non-vested RSUs totaled 0.5 years as of December 31, 2024.</w:t>
      </w:r>
    </w:p>
    <w:p>
      <w:pPr>
        <w:spacing w:after="0" w:line="18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For the years ended December 31, 2024, 2023, and 2022, the Company recognized compensation costs associated with equity awards in the Consolidated Statements of Operations and Comprehensive (Loss) Income as follows: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80" w:type="dxa"/>
            <w:vAlign w:val="bottom"/>
          </w:tcPr>
          <w:p>
            <w:pPr>
              <w:spacing w:after="0"/>
              <w:rPr>
                <w:sz w:val="19"/>
                <w:szCs w:val="19"/>
                <w:color w:val="auto"/>
              </w:rPr>
            </w:pPr>
          </w:p>
        </w:tc>
        <w:tc>
          <w:tcPr>
            <w:tcW w:w="12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80" w:type="dxa"/>
            <w:vAlign w:val="bottom"/>
          </w:tcPr>
          <w:p>
            <w:pPr>
              <w:spacing w:after="0"/>
              <w:rPr>
                <w:sz w:val="19"/>
                <w:szCs w:val="19"/>
                <w:color w:val="auto"/>
              </w:rPr>
            </w:pPr>
          </w:p>
        </w:tc>
        <w:tc>
          <w:tcPr>
            <w:tcW w:w="12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r>
      <w:tr>
        <w:trPr>
          <w:trHeight w:val="200"/>
        </w:trPr>
        <w:tc>
          <w:tcPr>
            <w:tcW w:w="5540" w:type="dxa"/>
            <w:vAlign w:val="bottom"/>
          </w:tcPr>
          <w:p>
            <w:pPr>
              <w:spacing w:after="0"/>
              <w:rPr>
                <w:sz w:val="17"/>
                <w:szCs w:val="17"/>
                <w:color w:val="auto"/>
              </w:rPr>
            </w:pPr>
          </w:p>
        </w:tc>
        <w:tc>
          <w:tcPr>
            <w:tcW w:w="14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4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4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5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03"/>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50,375</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1,574</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30,378</w:t>
            </w:r>
          </w:p>
        </w:tc>
      </w:tr>
      <w:tr>
        <w:trPr>
          <w:trHeight w:val="260"/>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share-based compensation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30,382</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6">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In the second quarter of 2024, the Company granted an equity award to certain employees that will settle in shares of a subsidiary owning the Company's Brazilian operations. The grant date fair value of this award was $53,958, and the award contains a service condition that will vest in annual increments through March 31, 2027. Compensation expense of $11,537 for the year ended December 31, 2024 associated with this award is included in the table above.</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In 2021 and 2022, the Company granted PSUs to certain employees and non-employees that contain a performance condition under the Incentive Plan. Vesting was determined based on achievement of a performance metric for the year subsequent to the grant, and the number of shares that would vest can range from zero to a multiple of units granted. As of December 31, 2023, the Company determined that it was not probable that the performance condition required for the PSUs granted in 2022 to vest would be achieved, and as such, no compensation expense was recognized for this award. During the fourth quarter of 2022, the Company determined that the PSUs granted in 2021 would vest at a multiple of two, resulting in vesting of 681,204 PSUs. Compensation cost for the service period since the grant date of $27,705 was recognized in 2022, and this compensation expense is included in the table above.</w:t>
      </w:r>
    </w:p>
    <w:p>
      <w:pPr>
        <w:spacing w:after="0" w:line="2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2024, the Company recognized a reversal of cumulative compensation expense of $13,584 for forfeited RSU awards; no significant reversals of compensation cost were recorded in the years ended December 31, 2023 and 2022. The Company recognizes the income tax benefits resulting from vesting of RSUs in the period of vesting, to the extent the compensation expense has been recognized. As of December 31, 2024, unrecognized compensation costs from non-vested RSUs was $14,420, and unrecognized compensation costs for other equity awards that will settle in shares of a subsidiary owning the Company's Brazilian operations was $42,422.</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F-55</w:t>
      </w:r>
    </w:p>
    <w:p>
      <w:pPr>
        <w:sectPr>
          <w:pgSz w:w="12240" w:h="15840" w:orient="portrait"/>
          <w:cols w:equalWidth="0" w:num="1">
            <w:col w:w="9900"/>
          </w:cols>
          <w:pgMar w:left="1180" w:top="218" w:right="1160" w:bottom="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27. Related party transactions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services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$6,822, $5,845 and $5,087 for the years ended December 31, 2024, 2023 and 2022, respectively. Costs associated with the Administrative Agreement are included within Selling, general and administrative in the Consolidated Statements of Operations and Comprehensive (Loss) Income. As of December 31, 2024 and 2023, $6,755 and $5,691 were due to Fortress,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administrative services, Mr. Edens owns an aircraft that the Company charters from a third party operator for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purposes in the ordinary course of operations. The Company incurred, at aircraft operator rates, charter costs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$2,126, $2,784 and $3,714 for the years ended December 31, 2024, 2023 and 2022, respectively. As of December 31,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2023, $1,146 and $1,095 was due to this affiliate,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Fortress affiliated entities</w:t>
      </w:r>
    </w:p>
    <w:p>
      <w:pPr>
        <w:spacing w:after="0" w:line="25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years ended December 31, 2024, 2023 and 2022, rent and office related expenses of $1,080, $913 and $857 were incurred by these affiliates, respectively. As of December 31, 2024 and 2023, $2,637 and $1,547 were due from affiliates, respectively.</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$912, $2,702 and $2,453 for the years ended December 31, 2024, 2023 and 2022, respectively. In May 2024, this affiliate assigned the office lease to the Company, and after this point, the Company no longer incurs rent expense with this affiliate. As of December 31, 2024 and 2023, $3,614 and $2,702 were due to Fortress affiliated entities,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Land leases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Prior to the sale of the Company's Miami Facility in the fourth quarter of 2024, the Company leased land from Florida East Coast Industries, LLC (“FECI”), which is controlled by funds managed by an affiliate of Fortress. The Company recognized expense related to the land lease of $349, $505 and $506 during the years ended December 31, 2024, 2023 and 2022, respectively, which was included within Operations and maintenance in the Consolidated Statements of Operations and Comprehensive (Loss) Income. No amounts are due to FECI as of December 31, 2024. The Company has amounts due to FECI of $92 and had recorded a lease liability of $3,368 as of December 31, 2023.</w:t>
      </w: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In September 2023, the Company entered into a lease agreement to lease land from Jefferson Terminal South LLC, which is an indirect, majority-owned subsidiary of a public company which is managed by an affiliate of Fortress. The Company recognized expense related to the land lease of $731 and $0 during the years ended December 31, 2024 and 2023, respectively, which was included within Operations and maintenance in the Consolidated Statements of Operations and Comprehensive (Loss) Income. As of December 31, 2024, the Company recorded a right-of-use asset of $3,530 and a lease liability of $4,474 on the Consolidated Balance Sheets. As of December 31, 2023, the Company recorded a right-of-use asset of $3,885 and a lease liability of $4,098 on the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DevTech investment</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In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consolidated financial statements. The Company recognized approximately $537, $424 and $408 in expense within Selling, general and administrative for the years ended December 31, 2024, 2023 and 2022, respectively. As of December 31, 2024 and 2023, $149 and $106 were due to DevTech, respectively.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F-56</w:t>
      </w:r>
    </w:p>
    <w:p>
      <w:pPr>
        <w:sectPr>
          <w:pgSz w:w="12240" w:h="15840" w:orient="portrait"/>
          <w:cols w:equalWidth="0" w:num="1">
            <w:col w:w="9880"/>
          </w:cols>
          <w:pgMar w:left="1180" w:top="218" w:right="1180" w:bottom="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28. Customer concentrations</w:t>
      </w:r>
    </w:p>
    <w:p>
      <w:pPr>
        <w:spacing w:after="0" w:line="257"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2024, revenue from three significant customers constituted 48% of total revenue; no other customers comprised more than 10% of our revenue. For the year ended December 31, 2023, revenue from two significant customers constituted 47% of the total revenue. For the year ended December 31, 2022, revenue from two significant customers constituted 42% of the total revenue. These customers’ revenues are included in the Company’s Terminals and Infrastructure segment.</w:t>
      </w:r>
    </w:p>
    <w:p>
      <w:pPr>
        <w:spacing w:after="0" w:line="20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2024, 2023 and 2022, revenue from external customers that were derived from customers located in the United States were $1,045,654, $1,060,678 and $246,628, respectively, and from customers outside of the United States were $1,319,206, $1,352,618, and $2,121,644, respectively. The Company attributes revenue from customers to the country in which the party to the applicable agreement has its principal place of business.</w:t>
      </w:r>
    </w:p>
    <w:p>
      <w:pPr>
        <w:spacing w:after="0" w:line="203"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20"/>
          <w:szCs w:val="20"/>
          <w:color w:val="auto"/>
        </w:rPr>
        <w:t>As of December 31, 2024 and 2023, long lived assets, which are all non-current assets excluding investment in equity securities, restricted cash, deferred tax assets, goodwill, intangible assets and assets held for sale located in the United States were $1,529,478 and $1,744,591, respectively, and long lived assets located outside of the United States were $8,655,996 and $6,938,199, respectively, primarily located in Brazil and the Caribbean.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29. Segments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the Company operates in two reportable segments: Terminals and Infrastructure and Ships:</w:t>
      </w:r>
    </w:p>
    <w:p>
      <w:pPr>
        <w:spacing w:after="0" w:line="246" w:lineRule="exact"/>
        <w:rPr>
          <w:sz w:val="20"/>
          <w:szCs w:val="20"/>
          <w:color w:val="auto"/>
        </w:rPr>
      </w:pPr>
    </w:p>
    <w:p>
      <w:pPr>
        <w:ind w:left="720" w:hanging="370"/>
        <w:spacing w:after="0" w:line="262" w:lineRule="auto"/>
        <w:tabs>
          <w:tab w:leader="none" w:pos="7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Terminals and Infrastructure </w:t>
      </w:r>
      <w:r>
        <w:rPr>
          <w:rFonts w:ascii="Times New Roman" w:cs="Times New Roman" w:eastAsia="Times New Roman" w:hAnsi="Times New Roman"/>
          <w:sz w:val="20"/>
          <w:szCs w:val="20"/>
          <w:color w:val="auto"/>
        </w:rPr>
        <w:t>includes the Company’s vertically integrated gas to power solutions, spanning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entire production and delivery chain from natural gas procurement and liquefaction to logistics, shipping, facilities and conversion or development of natural gas-fired power generation. Vessels that are utilized in the Company’s terminal, logistics or sub-charter operations are included in this segment.</w:t>
      </w:r>
    </w:p>
    <w:p>
      <w:pPr>
        <w:spacing w:after="0" w:line="199" w:lineRule="exact"/>
        <w:rPr>
          <w:rFonts w:ascii="Times New Roman" w:cs="Times New Roman" w:eastAsia="Times New Roman" w:hAnsi="Times New Roman"/>
          <w:sz w:val="20"/>
          <w:szCs w:val="20"/>
          <w:color w:val="auto"/>
        </w:rPr>
      </w:pPr>
    </w:p>
    <w:p>
      <w:pPr>
        <w:ind w:left="720" w:right="2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Terminals and Infrastructure Operating Margin included the Company’s effective share of revenues, expenses and operating margin attributable to the Company's 50% investment in CELSEPAR; the Company disposed of this investment in the fourth quarter of 2022.</w:t>
      </w:r>
    </w:p>
    <w:p>
      <w:pPr>
        <w:spacing w:after="0" w:line="185" w:lineRule="exact"/>
        <w:rPr>
          <w:rFonts w:ascii="Times New Roman" w:cs="Times New Roman" w:eastAsia="Times New Roman" w:hAnsi="Times New Roman"/>
          <w:sz w:val="20"/>
          <w:szCs w:val="20"/>
          <w:color w:val="auto"/>
        </w:rPr>
      </w:pPr>
    </w:p>
    <w:p>
      <w:pPr>
        <w:ind w:left="720" w:right="820"/>
        <w:spacing w:after="0" w:line="28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Terminal and Infrastructure segment includes realized gains and losses from the settlement of derivative transactions entered into as economic hedges to reduce market risks associated with commodity prices.</w:t>
      </w:r>
    </w:p>
    <w:p>
      <w:pPr>
        <w:spacing w:after="0" w:line="154" w:lineRule="exact"/>
        <w:rPr>
          <w:rFonts w:ascii="Times New Roman" w:cs="Times New Roman" w:eastAsia="Times New Roman" w:hAnsi="Times New Roman"/>
          <w:sz w:val="20"/>
          <w:szCs w:val="20"/>
          <w:color w:val="auto"/>
        </w:rPr>
      </w:pPr>
    </w:p>
    <w:p>
      <w:pPr>
        <w:ind w:left="720" w:right="220" w:hanging="370"/>
        <w:spacing w:after="0" w:line="257" w:lineRule="auto"/>
        <w:tabs>
          <w:tab w:leader="none" w:pos="7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Ships </w:t>
      </w:r>
      <w:r>
        <w:rPr>
          <w:rFonts w:ascii="Times New Roman" w:cs="Times New Roman" w:eastAsia="Times New Roman" w:hAnsi="Times New Roman"/>
          <w:sz w:val="20"/>
          <w:szCs w:val="20"/>
          <w:color w:val="auto"/>
        </w:rPr>
        <w:t>includes vessels that are currently chartered to third parties under long-term arrangements and are part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the Energos Formation Transaction; three vessels are currently included in this segment. The Company’s investment in Energos was also included in the Ships segment prior to the disposition of this investment in the first quarter of 2024. Ships Operating Margin also included the Company's effective share of revenue, expenses and operating margin attributable to ownership of the common units of Hilli LLC prior to the disposition of this investment in the first quarter of 2023.</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Company's CEO who is 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The CODM includes deferred earnings from contracted sales for which a prepayment was received in the current period in the segment measure.</w:t>
      </w:r>
    </w:p>
    <w:p>
      <w:pPr>
        <w:spacing w:after="0" w:line="20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CODM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F-57</w:t>
      </w:r>
    </w:p>
    <w:p>
      <w:pPr>
        <w:sectPr>
          <w:pgSz w:w="12240" w:h="15840" w:orient="portrait"/>
          <w:cols w:equalWidth="0" w:num="1">
            <w:col w:w="9860"/>
          </w:cols>
          <w:pgMar w:left="1180" w:top="218" w:right="1200"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segment information for the years ended December 31, 2024, 2023 and 2022:</w:t>
      </w: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4"/>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(5)</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98"/>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2,044,273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2,214,860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2,364,860</w:t>
            </w:r>
          </w:p>
        </w:tc>
      </w:tr>
      <w:tr>
        <w:trPr>
          <w:trHeight w:val="31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6"/>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1,064,667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1,064,667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1,064,667</w:t>
            </w: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r>
      <w:tr>
        <w:trPr>
          <w:trHeight w:val="30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r>
      <w:tr>
        <w:trPr>
          <w:trHeight w:val="24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earnings from</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87"/>
        </w:trPr>
        <w:tc>
          <w:tcPr>
            <w:tcW w:w="2760" w:type="dxa"/>
            <w:vAlign w:val="bottom"/>
          </w:tcPr>
          <w:p>
            <w:pPr>
              <w:ind w:left="180"/>
              <w:spacing w:after="0" w:line="287" w:lineRule="exact"/>
              <w:rPr>
                <w:sz w:val="20"/>
                <w:szCs w:val="20"/>
                <w:color w:val="auto"/>
              </w:rPr>
            </w:pPr>
            <w:r>
              <w:rPr>
                <w:rFonts w:ascii="Times New Roman" w:cs="Times New Roman" w:eastAsia="Times New Roman" w:hAnsi="Times New Roman"/>
                <w:sz w:val="20"/>
                <w:szCs w:val="20"/>
                <w:color w:val="auto"/>
              </w:rPr>
              <w:t>contracted sales</w:t>
            </w:r>
            <w:r>
              <w:rPr>
                <w:rFonts w:ascii="Times New Roman" w:cs="Times New Roman" w:eastAsia="Times New Roman" w:hAnsi="Times New Roman"/>
                <w:sz w:val="26"/>
                <w:szCs w:val="26"/>
                <w:color w:val="auto"/>
                <w:vertAlign w:val="superscript"/>
              </w:rPr>
              <w:t>(6)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955,293</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137,215</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1,092,508</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1,092,508</w:t>
            </w:r>
          </w:p>
        </w:tc>
      </w:tr>
      <w:tr>
        <w:trPr>
          <w:trHeight w:val="282"/>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12,309,565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557,931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12,867,496</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12,867,496</w:t>
            </w:r>
          </w:p>
        </w:tc>
      </w:tr>
      <w:tr>
        <w:trPr>
          <w:trHeight w:val="25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4"/>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6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26"/>
                <w:szCs w:val="26"/>
                <w:color w:val="auto"/>
                <w:vertAlign w:val="superscript"/>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2,274,435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2,274,435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2,274,435</w:t>
            </w:r>
          </w:p>
        </w:tc>
      </w:tr>
      <w:tr>
        <w:trPr>
          <w:trHeight w:val="572"/>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1"/>
        </w:trPr>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4"/>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(5)</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98"/>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2,141,085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2,434,690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2,413,296</w:t>
            </w:r>
          </w:p>
        </w:tc>
      </w:tr>
      <w:tr>
        <w:trPr>
          <w:trHeight w:val="31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6"/>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877,451</w:t>
            </w: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1,209,472</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242,218</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1,451,690</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(128,069)</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1,323,621</w:t>
            </w:r>
          </w:p>
        </w:tc>
      </w:tr>
      <w:tr>
        <w:trPr>
          <w:trHeight w:val="289"/>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8"/>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9,680,917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820,328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10,501,245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10,501,245</w:t>
            </w:r>
          </w:p>
        </w:tc>
      </w:tr>
      <w:tr>
        <w:trPr>
          <w:trHeight w:val="25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6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26"/>
                <w:szCs w:val="26"/>
                <w:color w:val="auto"/>
                <w:vertAlign w:val="superscript"/>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3,461,659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3,469,227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3,469,227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-5351145</wp:posOffset>
            </wp:positionV>
            <wp:extent cx="6311900" cy="2387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7">
                      <a:extLst>
                        <a:ext uri="{28A0092B-C50C-407E-A947-70E740481C1C}"/>
                      </a:extLst>
                    </a:blip>
                    <a:srcRect/>
                    <a:stretch>
                      <a:fillRect/>
                    </a:stretch>
                  </pic:blipFill>
                  <pic:spPr bwMode="auto">
                    <a:xfrm>
                      <a:off x="0" y="0"/>
                      <a:ext cx="6311900" cy="2387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-2077720</wp:posOffset>
            </wp:positionV>
            <wp:extent cx="6311900" cy="2063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8">
                      <a:extLst>
                        <a:ext uri="{28A0092B-C50C-407E-A947-70E740481C1C}"/>
                      </a:extLst>
                    </a:blip>
                    <a:srcRect/>
                    <a:stretch>
                      <a:fillRect/>
                    </a:stretch>
                  </pic:blipFill>
                  <pic:spPr bwMode="auto">
                    <a:xfrm>
                      <a:off x="0" y="0"/>
                      <a:ext cx="6311900" cy="206375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F-58</w:t>
      </w:r>
    </w:p>
    <w:p>
      <w:pPr>
        <w:sectPr>
          <w:pgSz w:w="12240" w:h="15840" w:orient="portrait"/>
          <w:cols w:equalWidth="0" w:num="1">
            <w:col w:w="9900"/>
          </w:cols>
          <w:pgMar w:left="1180" w:top="218" w:right="1160" w:bottom="0" w:gutter="0" w:footer="0" w:header="0"/>
          <w:type w:val="continuous"/>
        </w:sectPr>
      </w:pPr>
    </w:p>
    <w:bookmarkStart w:id="160" w:name="page161"/>
    <w:bookmarkEnd w:id="160"/>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Terminals and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84"/>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Infrastructure</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(5)</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2,168,565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2,613,181</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(244,909)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2,368,272</w:t>
            </w:r>
          </w:p>
        </w:tc>
      </w:tr>
      <w:tr>
        <w:trPr>
          <w:trHeight w:val="31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6"/>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1,010,428</w:t>
            </w: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w:t>
            </w: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105,800</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896,221</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354,072</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1,250,293</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(61,767)</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1,188,526</w:t>
            </w:r>
          </w:p>
        </w:tc>
      </w:tr>
      <w:tr>
        <w:trPr>
          <w:trHeight w:val="282"/>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5,913,775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1,791,307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7,705,082</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7,705,082</w:t>
            </w:r>
          </w:p>
        </w:tc>
      </w:tr>
      <w:tr>
        <w:trPr>
          <w:trHeight w:val="25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6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26"/>
                <w:szCs w:val="26"/>
                <w:color w:val="auto"/>
                <w:vertAlign w:val="superscript"/>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1,482,871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1,509,998</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-2068195</wp:posOffset>
            </wp:positionV>
            <wp:extent cx="6311900" cy="2054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9">
                      <a:extLst>
                        <a:ext uri="{28A0092B-C50C-407E-A947-70E740481C1C}"/>
                      </a:extLst>
                    </a:blip>
                    <a:srcRect/>
                    <a:stretch>
                      <a:fillRect/>
                    </a:stretch>
                  </pic:blipFill>
                  <pic:spPr bwMode="auto">
                    <a:xfrm>
                      <a:off x="0" y="0"/>
                      <a:ext cx="6311900" cy="2054225"/>
                    </a:xfrm>
                    <a:prstGeom prst="rect">
                      <a:avLst/>
                    </a:prstGeom>
                    <a:noFill/>
                  </pic:spPr>
                </pic:pic>
              </a:graphicData>
            </a:graphic>
          </wp:anchor>
        </w:drawing>
      </w:r>
    </w:p>
    <w:p>
      <w:pPr>
        <w:spacing w:after="0" w:line="264" w:lineRule="exact"/>
        <w:rPr>
          <w:sz w:val="20"/>
          <w:szCs w:val="20"/>
          <w:color w:val="auto"/>
        </w:rPr>
      </w:pPr>
    </w:p>
    <w:p>
      <w:pPr>
        <w:ind w:left="370" w:right="140" w:hanging="370"/>
        <w:spacing w:after="0" w:line="226" w:lineRule="auto"/>
        <w:tabs>
          <w:tab w:leader="none" w:pos="37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significant expense categories and amounts align with the segment-level information that is regularly provided to the CODM.</w:t>
      </w:r>
    </w:p>
    <w:p>
      <w:pPr>
        <w:spacing w:after="0" w:line="221" w:lineRule="exact"/>
        <w:rPr>
          <w:rFonts w:ascii="Times New Roman" w:cs="Times New Roman" w:eastAsia="Times New Roman" w:hAnsi="Times New Roman"/>
          <w:sz w:val="26"/>
          <w:szCs w:val="26"/>
          <w:color w:val="auto"/>
          <w:vertAlign w:val="superscript"/>
        </w:rPr>
      </w:pPr>
    </w:p>
    <w:p>
      <w:pPr>
        <w:ind w:left="370" w:right="40" w:hanging="370"/>
        <w:spacing w:after="0" w:line="237" w:lineRule="auto"/>
        <w:tabs>
          <w:tab w:leader="none" w:pos="37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in the Company’s segment measure only includes realized gains and losses on derivative transactions that are an economic hedge of commodity purchases and sales, and a realized gain of $139,089 for the year ended December 31, 2023 was recognized as a reduction to Cost of sales in the segment measure. No realized gains or losses were recognized for the years ended December 31, 2024 and 2022.</w:t>
      </w:r>
    </w:p>
    <w:p>
      <w:pPr>
        <w:spacing w:after="0" w:line="271" w:lineRule="exact"/>
        <w:rPr>
          <w:rFonts w:ascii="Times New Roman" w:cs="Times New Roman" w:eastAsia="Times New Roman" w:hAnsi="Times New Roman"/>
          <w:sz w:val="26"/>
          <w:szCs w:val="26"/>
          <w:color w:val="auto"/>
          <w:vertAlign w:val="superscript"/>
        </w:rPr>
      </w:pPr>
    </w:p>
    <w:p>
      <w:pPr>
        <w:ind w:left="370" w:right="40"/>
        <w:spacing w:after="0" w:line="26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recognized unrealized (losses) and earnings of ($106,393) and $106,103 on the mark-to-market value of derivative transactions for the years ended December 31, 2023 and 2022, respectively, and these losses reconcile Cost of sales in the segment measure to Cost of sales in the Consolidated Statements of Operations and Comprehensive (Loss) Income.</w:t>
      </w:r>
    </w:p>
    <w:p>
      <w:pPr>
        <w:spacing w:after="0" w:line="203" w:lineRule="exact"/>
        <w:rPr>
          <w:rFonts w:ascii="Times New Roman" w:cs="Times New Roman" w:eastAsia="Times New Roman" w:hAnsi="Times New Roman"/>
          <w:sz w:val="26"/>
          <w:szCs w:val="26"/>
          <w:color w:val="auto"/>
          <w:vertAlign w:val="superscript"/>
        </w:rPr>
      </w:pPr>
    </w:p>
    <w:p>
      <w:pPr>
        <w:ind w:left="370" w:right="140"/>
        <w:spacing w:after="0" w:line="26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has excluded contract acquisition costs that do not meet the criteria for capitalization from the segment measure. Contract acquisition costs of $6,232 for the year ended December 31, 2023 reconcile Cost of sales in the segment measure to Cost of sales in the Consolidated Statements of Operations and Comprehensive (Loss) Income. The Company did not incur such costs in the years ended December 31, 2024 and 2022.</w:t>
      </w:r>
    </w:p>
    <w:p>
      <w:pPr>
        <w:spacing w:after="0" w:line="203" w:lineRule="exact"/>
        <w:rPr>
          <w:rFonts w:ascii="Times New Roman" w:cs="Times New Roman" w:eastAsia="Times New Roman" w:hAnsi="Times New Roman"/>
          <w:sz w:val="26"/>
          <w:szCs w:val="26"/>
          <w:color w:val="auto"/>
          <w:vertAlign w:val="superscript"/>
        </w:rPr>
      </w:pPr>
    </w:p>
    <w:p>
      <w:pPr>
        <w:ind w:left="370" w:right="480" w:hanging="370"/>
        <w:spacing w:after="0" w:line="226" w:lineRule="auto"/>
        <w:tabs>
          <w:tab w:leader="none" w:pos="37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Capital expenditures includes amounts capitalized to construction in progress and additions to property, plant and equipment during the period.</w:t>
      </w:r>
    </w:p>
    <w:p>
      <w:pPr>
        <w:spacing w:after="0" w:line="221" w:lineRule="exact"/>
        <w:rPr>
          <w:rFonts w:ascii="Times New Roman" w:cs="Times New Roman" w:eastAsia="Times New Roman" w:hAnsi="Times New Roman"/>
          <w:sz w:val="26"/>
          <w:szCs w:val="26"/>
          <w:color w:val="auto"/>
          <w:vertAlign w:val="superscript"/>
        </w:rPr>
      </w:pPr>
    </w:p>
    <w:p>
      <w:pPr>
        <w:ind w:left="370" w:right="100" w:hanging="370"/>
        <w:spacing w:after="0" w:line="226" w:lineRule="auto"/>
        <w:tabs>
          <w:tab w:leader="none" w:pos="37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is presented exclusive of costs included in Depreciation and amortization in the Consolidated Statements of Operations and Comprehensive (Loss) Income.</w:t>
      </w:r>
    </w:p>
    <w:p>
      <w:pPr>
        <w:spacing w:after="0" w:line="221" w:lineRule="exact"/>
        <w:rPr>
          <w:rFonts w:ascii="Times New Roman" w:cs="Times New Roman" w:eastAsia="Times New Roman" w:hAnsi="Times New Roman"/>
          <w:sz w:val="26"/>
          <w:szCs w:val="26"/>
          <w:color w:val="auto"/>
          <w:vertAlign w:val="superscript"/>
        </w:rPr>
      </w:pPr>
    </w:p>
    <w:p>
      <w:pPr>
        <w:ind w:left="370" w:right="300" w:hanging="370"/>
        <w:spacing w:after="0" w:line="226" w:lineRule="auto"/>
        <w:tabs>
          <w:tab w:leader="none" w:pos="37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2024, Consolidation and Other adjusts for the inclusion of deferred earnings from contracted sales of $150,000 (Note 7) which were recognized during the third and fourth quarters of 2024.</w:t>
      </w:r>
    </w:p>
    <w:p>
      <w:pPr>
        <w:spacing w:after="0" w:line="221" w:lineRule="exact"/>
        <w:rPr>
          <w:rFonts w:ascii="Times New Roman" w:cs="Times New Roman" w:eastAsia="Times New Roman" w:hAnsi="Times New Roman"/>
          <w:sz w:val="26"/>
          <w:szCs w:val="26"/>
          <w:color w:val="auto"/>
          <w:vertAlign w:val="superscript"/>
        </w:rPr>
      </w:pPr>
    </w:p>
    <w:p>
      <w:pPr>
        <w:ind w:left="370" w:right="20"/>
        <w:spacing w:after="0" w:line="26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2023 and 2022, the effective share of revenues, expenses and operating margin attributable to the Company's ownership of the common units of Hilli LLC and the Company's 50% ownership of CELSEPAR was included in the segment measure prior to the disposition of these investments. Unrealized mark-to-market gains or losses on derivative instruments and the exclusion of non-capitalizable contract acquisition costs were also removed.</w:t>
      </w:r>
    </w:p>
    <w:p>
      <w:pPr>
        <w:spacing w:after="0" w:line="203" w:lineRule="exact"/>
        <w:rPr>
          <w:rFonts w:ascii="Times New Roman" w:cs="Times New Roman" w:eastAsia="Times New Roman" w:hAnsi="Times New Roman"/>
          <w:sz w:val="26"/>
          <w:szCs w:val="26"/>
          <w:color w:val="auto"/>
          <w:vertAlign w:val="superscript"/>
        </w:rPr>
      </w:pPr>
    </w:p>
    <w:p>
      <w:pPr>
        <w:ind w:left="370" w:right="140" w:hanging="370"/>
        <w:spacing w:after="0" w:line="247" w:lineRule="auto"/>
        <w:tabs>
          <w:tab w:leader="none" w:pos="370" w:val="left"/>
        </w:tabs>
        <w:numPr>
          <w:ilvl w:val="0"/>
          <w:numId w:val="7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Deferred earnings from contracted sales represent forward sales transactions that were contracted in the second and third quarters of 2024 and prepayment for these sales was received. Revenue has been recognized in the Consolidated Statements of Operations and Comprehensive (Loss) Income during the third and fourth quarters of 2024.</w:t>
      </w:r>
    </w:p>
    <w:p>
      <w:pPr>
        <w:spacing w:after="0" w:line="214" w:lineRule="exact"/>
        <w:rPr>
          <w:sz w:val="20"/>
          <w:szCs w:val="20"/>
          <w:color w:val="auto"/>
        </w:rPr>
      </w:pPr>
    </w:p>
    <w:p>
      <w:pPr>
        <w:ind w:left="10" w:right="60"/>
        <w:spacing w:after="0" w:line="309" w:lineRule="auto"/>
        <w:rPr>
          <w:sz w:val="20"/>
          <w:szCs w:val="20"/>
          <w:color w:val="auto"/>
        </w:rPr>
      </w:pPr>
      <w:r>
        <w:rPr>
          <w:rFonts w:ascii="Times New Roman" w:cs="Times New Roman" w:eastAsia="Times New Roman" w:hAnsi="Times New Roman"/>
          <w:sz w:val="19"/>
          <w:szCs w:val="19"/>
          <w:color w:val="auto"/>
        </w:rPr>
        <w:t>Consolidated Segment Operating Margin is defined as net income, adjusted for selling, general and administrative expenses, transaction and integration costs, depreciation and amortization, asset impairment expense, loss on sale of assets,</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F-59</w:t>
      </w:r>
    </w:p>
    <w:p>
      <w:pPr>
        <w:sectPr>
          <w:pgSz w:w="12240" w:h="15840" w:orient="portrait"/>
          <w:cols w:equalWidth="0" w:num="1">
            <w:col w:w="9910"/>
          </w:cols>
          <w:pgMar w:left="1170" w:top="218" w:right="1160" w:bottom="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auto"/>
        </w:rPr>
        <w:t>interest expense, other (income) expense, net, loss on extinguishment of debt, net, tax provision and income from equity method investments.</w:t>
      </w:r>
    </w:p>
    <w:p>
      <w:pPr>
        <w:spacing w:after="0" w:line="18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The following table reconciles Net income, the most comparable financial statement measure, to Consolidated Segment Operating Margin: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Borders>
              <w:bottom w:val="single" w:sz="8" w:color="auto"/>
            </w:tcBorders>
          </w:tcPr>
          <w:p>
            <w:pPr>
              <w:spacing w:after="0"/>
              <w:rPr>
                <w:sz w:val="23"/>
                <w:szCs w:val="23"/>
                <w:color w:val="auto"/>
              </w:rPr>
            </w:pPr>
          </w:p>
        </w:tc>
      </w:tr>
      <w:tr>
        <w:trPr>
          <w:trHeight w:val="265"/>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(242,387)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285,520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205,104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236,051</w:t>
            </w: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21,796</w:t>
            </w: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142,640</w:t>
            </w: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Other expense (income),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(48,044)</w:t>
            </w: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Loss (gain) on sale of assets,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77,562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Tax provision (benefit)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115,513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(123,439)</w:t>
            </w: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Asset impairment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50,659</w:t>
            </w: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14,997</w:t>
            </w:r>
          </w:p>
        </w:tc>
      </w:tr>
      <w:tr>
        <w:trPr>
          <w:trHeight w:val="30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Income (loss) from equity method investments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472,219</w:t>
            </w:r>
          </w:p>
        </w:tc>
      </w:tr>
      <w:tr>
        <w:trPr>
          <w:trHeight w:val="28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Consolidated Segment Operating Margin</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1,092,508</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1,323,621</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1,188,526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-2494915</wp:posOffset>
            </wp:positionV>
            <wp:extent cx="6311900" cy="2501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0">
                      <a:extLst>
                        <a:ext uri="{28A0092B-C50C-407E-A947-70E740481C1C}"/>
                      </a:extLst>
                    </a:blip>
                    <a:srcRect/>
                    <a:stretch>
                      <a:fillRect/>
                    </a:stretch>
                  </pic:blipFill>
                  <pic:spPr bwMode="auto">
                    <a:xfrm>
                      <a:off x="0" y="0"/>
                      <a:ext cx="6311900" cy="250190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30. Subsequent events</w:t>
      </w:r>
    </w:p>
    <w:p>
      <w:pPr>
        <w:spacing w:after="0" w:line="25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 February 2025, one of the Company's consolidated subsidiaries entered into an agreement to issue up to $350,000 aggregate principal amount of 15% Senior Secured Notes due 2029 (the “Brazil Financing Notes”) at a purchase price of 97.75% of par. The Brazil Financing Notes bear interest at a rate of 15.0% and mature on August 30, 2029; the principal is due in full on the maturity date. Interest is payable quarterly in arrears beginning on March 30, 2025, and for the first 30 months that the Brazil Financing Notes are outstanding, interest due can be paid in kind and added to the principal amount. A portion of the proceeds from the issuance of the Brazil Financing Notes was used to repay the Barcarena Debentures in full.</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In March 2025, the Company entered into an amendment to the Term Loan B Agreement. Pursuant to the amendment, certain lenders agreed to provide incremental term loans in an aggregate principal amount of up to $425,000. The incremental term loans are subject to the same terms as the initial Term Loan B, including interest rates and maturity date. Net proceeds will be used primarily to fund capital expenditures of the Altamira Onshore Project, and for other corporate expenses. In connection with the amendment, all unused term loan commitments under the Term Loan A Credit Agreement were terminated.</w:t>
      </w:r>
    </w:p>
    <w:p>
      <w:pPr>
        <w:spacing w:after="0" w:line="2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In March 2025, the Company entered into a Backstop Agreement (the "Backstop Agreement") with a lender, pursuant to which the Company may, at its sole option, issue and sell to this lender (subject to the satisfaction of certain conditions) senior debt securities up to an aggregate principal amount sufficient to generate gross proceeds of $100,000 with a term of at least three years from the closing date. Proceeds received would be used to satisfy the repayment of the outstanding borrowings under the Revolving Facility required by the reduction of commitments by September 30, 2025 (Note 20). The Backstop Agreement would be terminated in the event that the Company completes the sale of assets or receives proceeds associated with a contract termination fee sufficient to satisfy such required repayment.</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F-60</w:t>
      </w:r>
    </w:p>
    <w:p>
      <w:pPr>
        <w:sectPr>
          <w:pgSz w:w="12240" w:h="15840" w:orient="portrait"/>
          <w:cols w:equalWidth="0" w:num="1">
            <w:col w:w="9900"/>
          </w:cols>
          <w:pgMar w:left="1180" w:top="218" w:right="1160" w:bottom="0" w:gutter="0" w:footer="0" w:header="0"/>
          <w:type w:val="continuous"/>
        </w:sectPr>
      </w:pPr>
    </w:p>
    <w:bookmarkStart w:id="162" w:name="page163"/>
    <w:bookmarkEnd w:id="162"/>
    <w:tbl>
      <w:tblPr>
        <w:tblLayout w:type="fixed"/>
        <w:tblInd w:w="10" w:type="dxa"/>
        <w:tblCellMar>
          <w:top w:w="0" w:type="dxa"/>
          <w:left w:w="0" w:type="dxa"/>
          <w:bottom w:w="0" w:type="dxa"/>
          <w:right w:w="0" w:type="dxa"/>
        </w:tblCellMar>
      </w:tblPr>
      <w:tr>
        <w:trPr>
          <w:trHeight w:val="184"/>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1"/>
        </w:trPr>
        <w:tc>
          <w:tcPr>
            <w:tcW w:w="112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Schedule II</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Balance at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00" w:type="dxa"/>
            <w:vAlign w:val="bottom"/>
            <w:gridSpan w:val="2"/>
          </w:tcPr>
          <w:p>
            <w:pPr>
              <w:jc w:val="center"/>
              <w:ind w:left="640"/>
              <w:spacing w:after="0"/>
              <w:rPr>
                <w:sz w:val="20"/>
                <w:szCs w:val="20"/>
                <w:color w:val="auto"/>
              </w:rPr>
            </w:pPr>
            <w:r>
              <w:rPr>
                <w:rFonts w:ascii="Times New Roman" w:cs="Times New Roman" w:eastAsia="Times New Roman" w:hAnsi="Times New Roman"/>
                <w:sz w:val="20"/>
                <w:szCs w:val="20"/>
                <w:b w:val="1"/>
                <w:bCs w:val="1"/>
                <w:color w:val="auto"/>
                <w:w w:val="99"/>
              </w:rPr>
              <w:t>Beginning of</w:t>
            </w:r>
          </w:p>
        </w:tc>
        <w:tc>
          <w:tcPr>
            <w:tcW w:w="200" w:type="dxa"/>
            <w:vAlign w:val="bottom"/>
          </w:tcPr>
          <w:p>
            <w:pPr>
              <w:spacing w:after="0"/>
              <w:rPr>
                <w:sz w:val="20"/>
                <w:szCs w:val="20"/>
                <w:color w:val="auto"/>
              </w:rPr>
            </w:pPr>
          </w:p>
        </w:tc>
        <w:tc>
          <w:tcPr>
            <w:tcW w:w="116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2"/>
              </w:rPr>
              <w:t>Additions</w:t>
            </w:r>
            <w:r>
              <w:rPr>
                <w:rFonts w:ascii="Times New Roman" w:cs="Times New Roman" w:eastAsia="Times New Roman" w:hAnsi="Times New Roman"/>
                <w:sz w:val="26"/>
                <w:szCs w:val="26"/>
                <w:b w:val="1"/>
                <w:bCs w:val="1"/>
                <w:color w:val="auto"/>
                <w:w w:val="92"/>
                <w:vertAlign w:val="superscript"/>
              </w:rPr>
              <w:t>(1)</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0" w:type="dxa"/>
            <w:vAlign w:val="bottom"/>
          </w:tcPr>
          <w:p>
            <w:pPr>
              <w:spacing w:after="0"/>
              <w:rPr>
                <w:sz w:val="1"/>
                <w:szCs w:val="1"/>
                <w:color w:val="auto"/>
              </w:rPr>
            </w:pPr>
          </w:p>
        </w:tc>
      </w:tr>
      <w:tr>
        <w:trPr>
          <w:trHeight w:val="327"/>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940" w:type="dxa"/>
            <w:vAlign w:val="bottom"/>
          </w:tcPr>
          <w:p>
            <w:pPr>
              <w:spacing w:after="0"/>
              <w:rPr>
                <w:sz w:val="24"/>
                <w:szCs w:val="24"/>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w:t>
            </w:r>
          </w:p>
        </w:tc>
        <w:tc>
          <w:tcPr>
            <w:tcW w:w="2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End of Year</w:t>
            </w:r>
          </w:p>
        </w:tc>
        <w:tc>
          <w:tcPr>
            <w:tcW w:w="0" w:type="dxa"/>
            <w:vAlign w:val="bottom"/>
          </w:tcPr>
          <w:p>
            <w:pPr>
              <w:spacing w:after="0"/>
              <w:rPr>
                <w:sz w:val="1"/>
                <w:szCs w:val="1"/>
                <w:color w:val="auto"/>
              </w:rPr>
            </w:pPr>
          </w:p>
        </w:tc>
      </w:tr>
      <w:tr>
        <w:trPr>
          <w:trHeight w:val="537"/>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14,469</w:t>
            </w:r>
          </w:p>
        </w:tc>
        <w:tc>
          <w:tcPr>
            <w:tcW w:w="0" w:type="dxa"/>
            <w:vAlign w:val="bottom"/>
          </w:tcPr>
          <w:p>
            <w:pPr>
              <w:spacing w:after="0"/>
              <w:rPr>
                <w:sz w:val="1"/>
                <w:szCs w:val="1"/>
                <w:color w:val="auto"/>
              </w:rPr>
            </w:pPr>
          </w:p>
        </w:tc>
      </w:tr>
      <w:tr>
        <w:trPr>
          <w:trHeight w:val="599"/>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0" w:type="dxa"/>
            <w:vAlign w:val="bottom"/>
          </w:tcPr>
          <w:p>
            <w:pPr>
              <w:spacing w:after="0"/>
              <w:rPr>
                <w:sz w:val="1"/>
                <w:szCs w:val="1"/>
                <w:color w:val="auto"/>
              </w:rPr>
            </w:pPr>
          </w:p>
        </w:tc>
      </w:tr>
      <w:tr>
        <w:trPr>
          <w:trHeight w:val="599"/>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0" w:type="dxa"/>
            <w:vAlign w:val="bottom"/>
          </w:tcPr>
          <w:p>
            <w:pPr>
              <w:spacing w:after="0"/>
              <w:rPr>
                <w:sz w:val="1"/>
                <w:szCs w:val="1"/>
                <w:color w:val="auto"/>
              </w:rPr>
            </w:pPr>
          </w:p>
        </w:tc>
      </w:tr>
      <w:tr>
        <w:trPr>
          <w:trHeight w:val="548"/>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-2085340</wp:posOffset>
            </wp:positionV>
            <wp:extent cx="6311900" cy="1758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1">
                      <a:extLst>
                        <a:ext uri="{28A0092B-C50C-407E-A947-70E740481C1C}"/>
                      </a:extLst>
                    </a:blip>
                    <a:srcRect/>
                    <a:stretch>
                      <a:fillRect/>
                    </a:stretch>
                  </pic:blipFill>
                  <pic:spPr bwMode="auto">
                    <a:xfrm>
                      <a:off x="0" y="0"/>
                      <a:ext cx="6311900" cy="1758950"/>
                    </a:xfrm>
                    <a:prstGeom prst="rect">
                      <a:avLst/>
                    </a:prstGeom>
                    <a:noFill/>
                  </pic:spPr>
                </pic:pic>
              </a:graphicData>
            </a:graphic>
          </wp:anchor>
        </w:drawing>
      </w:r>
    </w:p>
    <w:p>
      <w:pPr>
        <w:spacing w:after="0" w:line="164" w:lineRule="exact"/>
        <w:rPr>
          <w:sz w:val="20"/>
          <w:szCs w:val="20"/>
          <w:color w:val="auto"/>
        </w:rPr>
      </w:pPr>
    </w:p>
    <w:p>
      <w:pPr>
        <w:ind w:left="370" w:hanging="370"/>
        <w:spacing w:after="0"/>
        <w:tabs>
          <w:tab w:leader="none" w:pos="370" w:val="left"/>
        </w:tabs>
        <w:numPr>
          <w:ilvl w:val="0"/>
          <w:numId w:val="7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 expensed is included within Selling, general and administrative.</w:t>
      </w:r>
    </w:p>
    <w:p>
      <w:pPr>
        <w:sectPr>
          <w:pgSz w:w="12240" w:h="15840" w:orient="portrait"/>
          <w:cols w:equalWidth="0" w:num="1">
            <w:col w:w="9810"/>
          </w:cols>
          <w:pgMar w:left="1170" w:top="21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F-61</w:t>
      </w:r>
    </w:p>
    <w:sectPr>
      <w:pgSz w:w="12240" w:h="15840" w:orient="portrait"/>
      <w:cols w:equalWidth="0" w:num="1">
        <w:col w:w="9810"/>
      </w:cols>
      <w:pgMar w:left="1170" w:top="210" w:right="12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x"/>
      <w:numFmt w:val="bullet"/>
      <w:start w:val="1"/>
    </w:lvl>
  </w:abstractNum>
  <w:abstractNum w:abstractNumId="1">
    <w:nsid w:val="2D517796"/>
    <w:multiLevelType w:val="hybridMultilevel"/>
    <w:lvl w:ilvl="0">
      <w:lvlJc w:val="left"/>
      <w:lvlText w:val="o"/>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lvl w:ilvl="1">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2"/>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2"/>
    </w:lvl>
  </w:abstractNum>
  <w:abstractNum w:abstractNumId="41">
    <w:nsid w:val="741226BB"/>
    <w:multiLevelType w:val="hybridMultilevel"/>
    <w:lvl w:ilvl="0">
      <w:lvlJc w:val="left"/>
      <w:lvlText w:val="(%1)"/>
      <w:numFmt w:val="lowerLetter"/>
      <w:start w:val="3"/>
    </w:lvl>
  </w:abstractNum>
  <w:abstractNum w:abstractNumId="42">
    <w:nsid w:val="D34B6A8"/>
    <w:multiLevelType w:val="hybridMultilevel"/>
    <w:lvl w:ilvl="0">
      <w:lvlJc w:val="left"/>
      <w:lvlText w:val="(%1)"/>
      <w:numFmt w:val="lowerLetter"/>
      <w:start w:val="4"/>
    </w:lvl>
  </w:abstractNum>
  <w:abstractNum w:abstractNumId="43">
    <w:nsid w:val="10233C99"/>
    <w:multiLevelType w:val="hybridMultilevel"/>
    <w:lvl w:ilvl="0">
      <w:lvlJc w:val="left"/>
      <w:lvlText w:val="(%1)"/>
      <w:numFmt w:val="lowerLetter"/>
      <w:start w:val="5"/>
    </w:lvl>
  </w:abstractNum>
  <w:abstractNum w:abstractNumId="44">
    <w:nsid w:val="3F6AB60F"/>
    <w:multiLevelType w:val="hybridMultilevel"/>
    <w:lvl w:ilvl="0">
      <w:lvlJc w:val="left"/>
      <w:lvlText w:val="(%1)"/>
      <w:numFmt w:val="lowerLetter"/>
      <w:start w:val="6"/>
    </w:lvl>
  </w:abstractNum>
  <w:abstractNum w:abstractNumId="45">
    <w:nsid w:val="61574095"/>
    <w:multiLevelType w:val="hybridMultilevel"/>
    <w:lvl w:ilvl="0">
      <w:lvlJc w:val="left"/>
      <w:lvlText w:val="(%1)"/>
      <w:numFmt w:val="lowerLetter"/>
      <w:start w:val="7"/>
    </w:lvl>
  </w:abstractNum>
  <w:abstractNum w:abstractNumId="46">
    <w:nsid w:val="7E0C57B1"/>
    <w:multiLevelType w:val="hybridMultilevel"/>
    <w:lvl w:ilvl="0">
      <w:lvlJc w:val="left"/>
      <w:lvlText w:val="(%1)"/>
      <w:numFmt w:val="lowerLetter"/>
      <w:start w:val="8"/>
    </w:lvl>
  </w:abstractNum>
  <w:abstractNum w:abstractNumId="47">
    <w:nsid w:val="77AE35EB"/>
    <w:multiLevelType w:val="hybridMultilevel"/>
    <w:lvl w:ilvl="0">
      <w:lvlJc w:val="left"/>
      <w:lvlText w:val="(%1)"/>
      <w:numFmt w:val="lowerRoman"/>
      <w:start w:val="1"/>
    </w:lvl>
  </w:abstractNum>
  <w:abstractNum w:abstractNumId="48">
    <w:nsid w:val="579BE4F1"/>
    <w:multiLevelType w:val="hybridMultilevel"/>
    <w:lvl w:ilvl="0">
      <w:lvlJc w:val="left"/>
      <w:lvlText w:val="(%1)"/>
      <w:numFmt w:val="lowerLetter"/>
      <w:start w:val="10"/>
    </w:lvl>
  </w:abstractNum>
  <w:abstractNum w:abstractNumId="49">
    <w:nsid w:val="310C50B3"/>
    <w:multiLevelType w:val="hybridMultilevel"/>
    <w:lvl w:ilvl="0">
      <w:lvlJc w:val="left"/>
      <w:lvlText w:val="(%1)"/>
      <w:numFmt w:val="lowerLetter"/>
      <w:start w:val="11"/>
    </w:lvl>
  </w:abstractNum>
  <w:abstractNum w:abstractNumId="50">
    <w:nsid w:val="5FF87E05"/>
    <w:multiLevelType w:val="hybridMultilevel"/>
    <w:lvl w:ilvl="0">
      <w:lvlJc w:val="left"/>
      <w:lvlText w:val="(%1)"/>
      <w:numFmt w:val="lowerLetter"/>
      <w:start w:val="12"/>
    </w:lvl>
  </w:abstractNum>
  <w:abstractNum w:abstractNumId="51">
    <w:nsid w:val="2F305DEF"/>
    <w:multiLevelType w:val="hybridMultilevel"/>
    <w:lvl w:ilvl="0">
      <w:lvlJc w:val="left"/>
      <w:lvlText w:val="(%1)"/>
      <w:numFmt w:val="lowerLetter"/>
      <w:start w:val="13"/>
    </w:lvl>
  </w:abstractNum>
  <w:abstractNum w:abstractNumId="52">
    <w:nsid w:val="25A70BF7"/>
    <w:multiLevelType w:val="hybridMultilevel"/>
    <w:lvl w:ilvl="0">
      <w:lvlJc w:val="left"/>
      <w:lvlText w:val="(%1)"/>
      <w:numFmt w:val="lowerLetter"/>
      <w:start w:val="14"/>
    </w:lvl>
  </w:abstractNum>
  <w:abstractNum w:abstractNumId="53">
    <w:nsid w:val="1DBABF00"/>
    <w:multiLevelType w:val="hybridMultilevel"/>
    <w:lvl w:ilvl="0">
      <w:lvlJc w:val="left"/>
      <w:lvlText w:val="(%1)"/>
      <w:numFmt w:val="lowerLetter"/>
      <w:start w:val="15"/>
    </w:lvl>
  </w:abstractNum>
  <w:abstractNum w:abstractNumId="54">
    <w:nsid w:val="4AD084E9"/>
    <w:multiLevelType w:val="hybridMultilevel"/>
    <w:lvl w:ilvl="0">
      <w:lvlJc w:val="left"/>
      <w:lvlText w:val="(%1)"/>
      <w:numFmt w:val="lowerLetter"/>
      <w:start w:val="16"/>
    </w:lvl>
  </w:abstractNum>
  <w:abstractNum w:abstractNumId="55">
    <w:nsid w:val="1F48EAA1"/>
    <w:multiLevelType w:val="hybridMultilevel"/>
    <w:lvl w:ilvl="0">
      <w:lvlJc w:val="left"/>
      <w:lvlText w:val="(%1)"/>
      <w:numFmt w:val="lowerLetter"/>
      <w:start w:val="17"/>
    </w:lvl>
  </w:abstractNum>
  <w:abstractNum w:abstractNumId="56">
    <w:nsid w:val="1381823A"/>
    <w:multiLevelType w:val="hybridMultilevel"/>
    <w:lvl w:ilvl="0">
      <w:lvlJc w:val="left"/>
      <w:lvlText w:val="(%1)"/>
      <w:numFmt w:val="lowerLetter"/>
      <w:start w:val="18"/>
    </w:lvl>
  </w:abstractNum>
  <w:abstractNum w:abstractNumId="57">
    <w:nsid w:val="5DB70AE5"/>
    <w:multiLevelType w:val="hybridMultilevel"/>
    <w:lvl w:ilvl="0">
      <w:lvlJc w:val="left"/>
      <w:lvlText w:val="(%1)"/>
      <w:numFmt w:val="lowerLetter"/>
      <w:start w:val="19"/>
    </w:lvl>
  </w:abstractNum>
  <w:abstractNum w:abstractNumId="58">
    <w:nsid w:val="100F8FCA"/>
    <w:multiLevelType w:val="hybridMultilevel"/>
    <w:lvl w:ilvl="0">
      <w:lvlJc w:val="left"/>
      <w:lvlText w:val="(%1)"/>
      <w:numFmt w:val="lowerLetter"/>
      <w:start w:val="20"/>
    </w:lvl>
  </w:abstractNum>
  <w:abstractNum w:abstractNumId="59">
    <w:nsid w:val="6590700B"/>
    <w:multiLevelType w:val="hybridMultilevel"/>
    <w:lvl w:ilvl="0">
      <w:lvlJc w:val="left"/>
      <w:lvlText w:val="(%1)"/>
      <w:numFmt w:val="lowerLetter"/>
      <w:start w:val="21"/>
    </w:lvl>
  </w:abstractNum>
  <w:abstractNum w:abstractNumId="60">
    <w:nsid w:val="15014ACB"/>
    <w:multiLevelType w:val="hybridMultilevel"/>
    <w:lvl w:ilvl="0">
      <w:lvlJc w:val="left"/>
      <w:lvlText w:val="(%1)"/>
      <w:numFmt w:val="lowerRoman"/>
      <w:start w:val="5"/>
    </w:lvl>
  </w:abstractNum>
  <w:abstractNum w:abstractNumId="61">
    <w:nsid w:val="5F5E7FD0"/>
    <w:multiLevelType w:val="hybridMultilevel"/>
    <w:lvl w:ilvl="0">
      <w:lvlJc w:val="left"/>
      <w:lvlText w:val="(%1)"/>
      <w:numFmt w:val="lowerLetter"/>
      <w:start w:val="23"/>
    </w:lvl>
  </w:abstractNum>
  <w:abstractNum w:abstractNumId="62">
    <w:nsid w:val="98A3148"/>
    <w:multiLevelType w:val="hybridMultilevel"/>
    <w:lvl w:ilvl="0">
      <w:lvlJc w:val="left"/>
      <w:lvlText w:val="(%1)"/>
      <w:numFmt w:val="lowerRoman"/>
      <w:start w:val="10"/>
    </w:lvl>
  </w:abstractNum>
  <w:abstractNum w:abstractNumId="63">
    <w:nsid w:val="799D0247"/>
    <w:multiLevelType w:val="hybridMultilevel"/>
    <w:lvl w:ilvl="0">
      <w:lvlJc w:val="left"/>
      <w:lvlText w:val="(%1)"/>
      <w:numFmt w:val="lowerLetter"/>
      <w:start w:val="25"/>
    </w:lvl>
  </w:abstractNum>
  <w:abstractNum w:abstractNumId="64">
    <w:nsid w:val="6B94764"/>
    <w:multiLevelType w:val="hybridMultilevel"/>
    <w:lvl w:ilvl="0">
      <w:lvlJc w:val="left"/>
      <w:lvlText w:val="(%1)"/>
      <w:numFmt w:val="lowerLetter"/>
      <w:start w:val="26"/>
    </w:lvl>
  </w:abstractNum>
  <w:abstractNum w:abstractNumId="65">
    <w:nsid w:val="42C296BD"/>
    <w:multiLevelType w:val="hybridMultilevel"/>
    <w:lvl w:ilvl="0">
      <w:lvlJc w:val="left"/>
      <w:lvlText w:val="(%1)"/>
      <w:numFmt w:val="lowerLetter"/>
      <w:start w:val="27"/>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1."/>
      <w:numFmt w:val="decimal"/>
      <w:start w:val="606"/>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2025-05-02T21:24:25Z</dcterms:created>
  <dcterms:modified xsi:type="dcterms:W3CDTF">2025-05-02T21:24:25Z</dcterms:modified>
</cp:coreProperties>
</file>