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UNITED STATES</w:t>
      </w:r>
    </w:p>
    <w:p>
      <w:pPr>
        <w:jc w:val="center"/>
        <w:ind w:right="-1140"/>
        <w:spacing w:after="0" w:line="214" w:lineRule="auto"/>
        <w:rPr>
          <w:sz w:val="20"/>
          <w:szCs w:val="20"/>
          <w:color w:val="auto"/>
        </w:rPr>
      </w:pPr>
      <w:r>
        <w:rPr>
          <w:rFonts w:ascii="Times New Roman" w:cs="Times New Roman" w:eastAsia="Times New Roman" w:hAnsi="Times New Roman"/>
          <w:sz w:val="17"/>
          <w:szCs w:val="17"/>
          <w:b w:val="1"/>
          <w:bCs w:val="1"/>
          <w:color w:val="auto"/>
        </w:rPr>
        <w:t>SECURITIES AND EXCHANGE COMMISSION</w:t>
      </w:r>
    </w:p>
    <w:p>
      <w:pPr>
        <w:ind w:left="4900"/>
        <w:spacing w:after="0" w:line="212" w:lineRule="auto"/>
        <w:rPr>
          <w:sz w:val="20"/>
          <w:szCs w:val="20"/>
          <w:color w:val="auto"/>
        </w:rPr>
      </w:pPr>
      <w:r>
        <w:rPr>
          <w:rFonts w:ascii="Times New Roman" w:cs="Times New Roman" w:eastAsia="Times New Roman" w:hAnsi="Times New Roman"/>
          <w:sz w:val="14"/>
          <w:szCs w:val="14"/>
          <w:b w:val="1"/>
          <w:bCs w:val="1"/>
          <w:color w:val="auto"/>
        </w:rPr>
        <w:t>Washington, D.C. 20549</w:t>
      </w:r>
    </w:p>
    <w:p>
      <w:pPr>
        <w:jc w:val="center"/>
        <w:ind w:right="-1140"/>
        <w:spacing w:after="0" w:line="209" w:lineRule="auto"/>
        <w:rPr>
          <w:sz w:val="20"/>
          <w:szCs w:val="20"/>
          <w:color w:val="auto"/>
        </w:rPr>
      </w:pPr>
      <w:r>
        <w:rPr>
          <w:rFonts w:ascii="Times New Roman" w:cs="Times New Roman" w:eastAsia="Times New Roman" w:hAnsi="Times New Roman"/>
          <w:sz w:val="22"/>
          <w:szCs w:val="22"/>
          <w:b w:val="1"/>
          <w:bCs w:val="1"/>
          <w:color w:val="auto"/>
        </w:rPr>
        <w:t>SCHEDULE 14A</w:t>
      </w:r>
    </w:p>
    <w:p>
      <w:pPr>
        <w:jc w:val="center"/>
        <w:ind w:right="-1140"/>
        <w:spacing w:after="0" w:line="205" w:lineRule="auto"/>
        <w:rPr>
          <w:sz w:val="20"/>
          <w:szCs w:val="20"/>
          <w:color w:val="auto"/>
        </w:rPr>
      </w:pPr>
      <w:r>
        <w:rPr>
          <w:rFonts w:ascii="Times New Roman" w:cs="Times New Roman" w:eastAsia="Times New Roman" w:hAnsi="Times New Roman"/>
          <w:sz w:val="12"/>
          <w:szCs w:val="12"/>
          <w:b w:val="1"/>
          <w:bCs w:val="1"/>
          <w:color w:val="auto"/>
        </w:rPr>
        <w:t>Proxy Statement Pursuant to Section 14(a) of the</w:t>
      </w: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01" w:lineRule="exact"/>
        <w:rPr>
          <w:sz w:val="24"/>
          <w:szCs w:val="24"/>
          <w:color w:val="auto"/>
        </w:rPr>
      </w:pPr>
    </w:p>
    <w:p>
      <w:pPr>
        <w:spacing w:after="0" w:line="138" w:lineRule="exact"/>
        <w:tabs>
          <w:tab w:leader="none" w:pos="1740" w:val="left"/>
        </w:tabs>
        <w:rPr>
          <w:sz w:val="20"/>
          <w:szCs w:val="20"/>
          <w:color w:val="auto"/>
        </w:rPr>
      </w:pPr>
      <w:r>
        <w:rPr>
          <w:rFonts w:ascii="Times New Roman" w:cs="Times New Roman" w:eastAsia="Times New Roman" w:hAnsi="Times New Roman"/>
          <w:sz w:val="12"/>
          <w:szCs w:val="12"/>
          <w:color w:val="auto"/>
        </w:rPr>
        <w:t xml:space="preserve">Filed by the Registrant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w:t>
      </w:r>
      <w:r>
        <w:rPr>
          <w:sz w:val="20"/>
          <w:szCs w:val="20"/>
          <w:color w:val="auto"/>
        </w:rPr>
        <w:tab/>
      </w:r>
      <w:r>
        <w:rPr>
          <w:rFonts w:ascii="Times New Roman" w:cs="Times New Roman" w:eastAsia="Times New Roman" w:hAnsi="Times New Roman"/>
          <w:sz w:val="11"/>
          <w:szCs w:val="11"/>
          <w:color w:val="auto"/>
        </w:rPr>
        <w:t xml:space="preserve">Filed by a Party other than the Registrant </w:t>
      </w:r>
      <w:r>
        <w:rPr>
          <w:rFonts w:ascii="MS PGothic" w:cs="MS PGothic" w:eastAsia="MS PGothic" w:hAnsi="MS PGothic"/>
          <w:sz w:val="11"/>
          <w:szCs w:val="11"/>
          <w:color w:val="auto"/>
        </w:rPr>
        <w:t>☐</w:t>
      </w:r>
    </w:p>
    <w:p>
      <w:pPr>
        <w:spacing w:after="0" w:line="178"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w:t>
      </w:r>
    </w:p>
    <w:p>
      <w:pPr>
        <w:spacing w:after="0" w:line="204" w:lineRule="exact"/>
        <w:rPr>
          <w:sz w:val="24"/>
          <w:szCs w:val="24"/>
          <w:color w:val="auto"/>
        </w:rPr>
      </w:pPr>
    </w:p>
    <w:p>
      <w:pPr>
        <w:ind w:left="520" w:hanging="514"/>
        <w:spacing w:after="0"/>
        <w:tabs>
          <w:tab w:leader="none" w:pos="5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Preliminary Proxy Statement</w:t>
      </w:r>
    </w:p>
    <w:p>
      <w:pPr>
        <w:spacing w:after="0" w:line="65" w:lineRule="exact"/>
        <w:rPr>
          <w:rFonts w:ascii="MS PGothic" w:cs="MS PGothic" w:eastAsia="MS PGothic" w:hAnsi="MS PGothic"/>
          <w:sz w:val="12"/>
          <w:szCs w:val="12"/>
          <w:color w:val="auto"/>
        </w:rPr>
      </w:pPr>
    </w:p>
    <w:p>
      <w:pPr>
        <w:ind w:left="520" w:hanging="514"/>
        <w:spacing w:after="0"/>
        <w:tabs>
          <w:tab w:leader="none" w:pos="5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Confidential, for Use of the Commission Only (as permitted by Rule 14a-6(e)(2))</w:t>
      </w:r>
    </w:p>
    <w:p>
      <w:pPr>
        <w:spacing w:after="0" w:line="56" w:lineRule="exact"/>
        <w:rPr>
          <w:rFonts w:ascii="MS PGothic" w:cs="MS PGothic" w:eastAsia="MS PGothic" w:hAnsi="MS PGothic"/>
          <w:sz w:val="12"/>
          <w:szCs w:val="12"/>
          <w:color w:val="auto"/>
        </w:rPr>
      </w:pPr>
    </w:p>
    <w:p>
      <w:pPr>
        <w:ind w:left="520" w:hanging="456"/>
        <w:spacing w:after="0"/>
        <w:tabs>
          <w:tab w:leader="none" w:pos="520" w:val="left"/>
        </w:tabs>
        <w:numPr>
          <w:ilvl w:val="1"/>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Proxy Statement</w:t>
      </w:r>
    </w:p>
    <w:p>
      <w:pPr>
        <w:spacing w:after="0" w:line="31" w:lineRule="exact"/>
        <w:rPr>
          <w:rFonts w:ascii="MS PGothic" w:cs="MS PGothic" w:eastAsia="MS PGothic" w:hAnsi="MS PGothic"/>
          <w:sz w:val="12"/>
          <w:szCs w:val="12"/>
          <w:color w:val="auto"/>
        </w:rPr>
      </w:pPr>
    </w:p>
    <w:p>
      <w:pPr>
        <w:ind w:left="520" w:hanging="514"/>
        <w:spacing w:after="0"/>
        <w:tabs>
          <w:tab w:leader="none" w:pos="5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Additional Materials</w:t>
      </w:r>
    </w:p>
    <w:p>
      <w:pPr>
        <w:spacing w:after="0" w:line="69" w:lineRule="exact"/>
        <w:rPr>
          <w:rFonts w:ascii="MS PGothic" w:cs="MS PGothic" w:eastAsia="MS PGothic" w:hAnsi="MS PGothic"/>
          <w:sz w:val="12"/>
          <w:szCs w:val="12"/>
          <w:color w:val="auto"/>
        </w:rPr>
      </w:pPr>
    </w:p>
    <w:p>
      <w:pPr>
        <w:ind w:left="520" w:hanging="514"/>
        <w:spacing w:after="0"/>
        <w:tabs>
          <w:tab w:leader="none" w:pos="5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w:t>
      </w:r>
    </w:p>
    <w:p>
      <w:pPr>
        <w:spacing w:after="0" w:line="219"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4"/>
          <w:szCs w:val="24"/>
          <w:b w:val="1"/>
          <w:bCs w:val="1"/>
          <w:color w:val="auto"/>
        </w:rPr>
        <w:t>New Fortress Energy Inc.</w:t>
      </w:r>
    </w:p>
    <w:p>
      <w:pPr>
        <w:jc w:val="center"/>
        <w:ind w:right="-1140"/>
        <w:spacing w:after="0" w:line="219" w:lineRule="auto"/>
        <w:rPr>
          <w:sz w:val="20"/>
          <w:szCs w:val="20"/>
          <w:color w:val="auto"/>
        </w:rPr>
      </w:pPr>
      <w:r>
        <w:rPr>
          <w:rFonts w:ascii="Times New Roman" w:cs="Times New Roman" w:eastAsia="Times New Roman" w:hAnsi="Times New Roman"/>
          <w:sz w:val="12"/>
          <w:szCs w:val="12"/>
          <w:b w:val="1"/>
          <w:bCs w:val="1"/>
          <w:color w:val="auto"/>
        </w:rPr>
        <w:t>(Name of Registrant as Specified In Its Charter)</w:t>
      </w:r>
    </w:p>
    <w:p>
      <w:pPr>
        <w:jc w:val="center"/>
        <w:ind w:right="-1140"/>
        <w:spacing w:after="0"/>
        <w:rPr>
          <w:sz w:val="20"/>
          <w:szCs w:val="20"/>
          <w:color w:val="auto"/>
        </w:rPr>
      </w:pPr>
      <w:r>
        <w:rPr>
          <w:rFonts w:ascii="Times New Roman" w:cs="Times New Roman" w:eastAsia="Times New Roman" w:hAnsi="Times New Roman"/>
          <w:sz w:val="12"/>
          <w:szCs w:val="12"/>
          <w:b w:val="1"/>
          <w:bCs w:val="1"/>
          <w:color w:val="auto"/>
        </w:rPr>
        <w:t>(Name of Person(s) Filing Proxy Statement, if other than the Registrant)</w:t>
      </w:r>
    </w:p>
    <w:p>
      <w:pPr>
        <w:spacing w:after="0" w:line="129"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Payment of Filing Fee (Check all boxes that apply):</w:t>
      </w:r>
    </w:p>
    <w:p>
      <w:pPr>
        <w:spacing w:after="0" w:line="17" w:lineRule="exact"/>
        <w:rPr>
          <w:sz w:val="24"/>
          <w:szCs w:val="24"/>
          <w:color w:val="auto"/>
        </w:rPr>
      </w:pPr>
    </w:p>
    <w:p>
      <w:pPr>
        <w:ind w:left="520" w:hanging="456"/>
        <w:spacing w:after="0"/>
        <w:tabs>
          <w:tab w:leader="none" w:pos="520" w:val="left"/>
        </w:tabs>
        <w:numPr>
          <w:ilvl w:val="1"/>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No fee required.</w:t>
      </w:r>
    </w:p>
    <w:p>
      <w:pPr>
        <w:spacing w:after="0" w:line="33" w:lineRule="exact"/>
        <w:rPr>
          <w:rFonts w:ascii="MS PGothic" w:cs="MS PGothic" w:eastAsia="MS PGothic" w:hAnsi="MS PGothic"/>
          <w:sz w:val="12"/>
          <w:szCs w:val="12"/>
          <w:color w:val="auto"/>
        </w:rPr>
      </w:pPr>
    </w:p>
    <w:p>
      <w:pPr>
        <w:ind w:left="520" w:hanging="514"/>
        <w:spacing w:after="0" w:line="185" w:lineRule="auto"/>
        <w:tabs>
          <w:tab w:leader="none" w:pos="520" w:val="left"/>
        </w:tabs>
        <w:numPr>
          <w:ilvl w:val="0"/>
          <w:numId w:val="2"/>
        </w:numPr>
        <w:rPr>
          <w:rFonts w:ascii="MS PGothic" w:cs="MS PGothic" w:eastAsia="MS PGothic" w:hAnsi="MS PGothic"/>
          <w:sz w:val="21"/>
          <w:szCs w:val="21"/>
          <w:color w:val="auto"/>
          <w:vertAlign w:val="subscript"/>
        </w:rPr>
      </w:pPr>
      <w:r>
        <w:rPr>
          <w:rFonts w:ascii="Times New Roman" w:cs="Times New Roman" w:eastAsia="Times New Roman" w:hAnsi="Times New Roman"/>
          <w:sz w:val="11"/>
          <w:szCs w:val="11"/>
          <w:color w:val="auto"/>
        </w:rPr>
        <w:t>Fee paid previously with preliminary materials.</w:t>
      </w:r>
    </w:p>
    <w:p>
      <w:pPr>
        <w:spacing w:after="0" w:line="45" w:lineRule="exact"/>
        <w:rPr>
          <w:rFonts w:ascii="MS PGothic" w:cs="MS PGothic" w:eastAsia="MS PGothic" w:hAnsi="MS PGothic"/>
          <w:sz w:val="21"/>
          <w:szCs w:val="21"/>
          <w:color w:val="auto"/>
          <w:vertAlign w:val="subscript"/>
        </w:rPr>
      </w:pPr>
    </w:p>
    <w:p>
      <w:pPr>
        <w:ind w:left="520" w:hanging="514"/>
        <w:spacing w:after="0" w:line="185" w:lineRule="auto"/>
        <w:tabs>
          <w:tab w:leader="none" w:pos="520" w:val="left"/>
        </w:tabs>
        <w:numPr>
          <w:ilvl w:val="0"/>
          <w:numId w:val="2"/>
        </w:numPr>
        <w:rPr>
          <w:rFonts w:ascii="MS PGothic" w:cs="MS PGothic" w:eastAsia="MS PGothic" w:hAnsi="MS PGothic"/>
          <w:sz w:val="21"/>
          <w:szCs w:val="21"/>
          <w:color w:val="auto"/>
          <w:vertAlign w:val="subscript"/>
        </w:rPr>
      </w:pPr>
      <w:r>
        <w:rPr>
          <w:rFonts w:ascii="Times New Roman" w:cs="Times New Roman" w:eastAsia="Times New Roman" w:hAnsi="Times New Roman"/>
          <w:sz w:val="11"/>
          <w:szCs w:val="1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2736215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234315</wp:posOffset>
            </wp:positionV>
            <wp:extent cx="716661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6610" cy="5715"/>
                    </a:xfrm>
                    <a:prstGeom prst="rect">
                      <a:avLst/>
                    </a:prstGeom>
                    <a:noFill/>
                  </pic:spPr>
                </pic:pic>
              </a:graphicData>
            </a:graphic>
          </wp:anchor>
        </w:drawing>
      </w:r>
    </w:p>
    <w:p>
      <w:pPr>
        <w:sectPr>
          <w:pgSz w:w="11900" w:h="16838" w:orient="portrait"/>
          <w:cols w:equalWidth="0" w:num="1">
            <w:col w:w="10159"/>
          </w:cols>
          <w:pgMar w:left="300" w:top="883"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jc w:val="right"/>
        <w:spacing w:after="0"/>
        <w:rPr>
          <w:sz w:val="20"/>
          <w:szCs w:val="20"/>
          <w:color w:val="auto"/>
        </w:rPr>
      </w:pPr>
      <w:r>
        <w:rPr>
          <w:rFonts w:ascii="Times New Roman" w:cs="Times New Roman" w:eastAsia="Times New Roman" w:hAnsi="Times New Roman"/>
          <w:sz w:val="12"/>
          <w:szCs w:val="12"/>
          <w:color w:val="auto"/>
        </w:rPr>
        <w:t>April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-1905</wp:posOffset>
            </wp:positionV>
            <wp:extent cx="1325880" cy="3429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588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Dear Fellow Stockholders:</w:t>
      </w:r>
    </w:p>
    <w:p>
      <w:pPr>
        <w:spacing w:after="0" w:line="150" w:lineRule="exact"/>
        <w:rPr>
          <w:sz w:val="20"/>
          <w:szCs w:val="20"/>
          <w:color w:val="auto"/>
        </w:rPr>
      </w:pPr>
    </w:p>
    <w:p>
      <w:pPr>
        <w:ind w:right="20" w:firstLine="216"/>
        <w:spacing w:after="0" w:line="327" w:lineRule="auto"/>
        <w:rPr>
          <w:sz w:val="20"/>
          <w:szCs w:val="20"/>
          <w:color w:val="auto"/>
        </w:rPr>
      </w:pPr>
      <w:r>
        <w:rPr>
          <w:rFonts w:ascii="Times New Roman" w:cs="Times New Roman" w:eastAsia="Times New Roman" w:hAnsi="Times New Roman"/>
          <w:sz w:val="11"/>
          <w:szCs w:val="11"/>
          <w:color w:val="auto"/>
        </w:rPr>
        <w:t>On behalf of the Board of Directors, I cordially invite you to attend the Annual Meeting of Stockholders of New Fortress Energy Inc. (the “Annual Meeting”) to be held at Skadden, Arps, Slate, Meagher &amp; Flom LLP and Affiliates, One Manhattan West, New York, New York 10001, on June 18, 2025, at 9:00 a.m., Eastern Time. The matters to be considered by the stockholders at the Annual Meeting are described in detail in the accompanying materials.</w:t>
      </w:r>
    </w:p>
    <w:p>
      <w:pPr>
        <w:spacing w:after="0" w:line="87"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IT IS IMPORTANT THAT YOU BE REPRESENTED AT THE ANNUAL MEETING REGARDLESS OF THE NUMBER OF SHARES YOU OWN OR WHETHER YOU ARE ABLE TO ATTEND THE ANNUAL MEETING IN PERSON. Let me urge you to vote today by the Internet, by telephone or by completing, signing and returning your proxy card in the envelope provided.</w:t>
      </w:r>
    </w:p>
    <w:p>
      <w:pPr>
        <w:spacing w:after="0" w:line="111" w:lineRule="exact"/>
        <w:rPr>
          <w:sz w:val="20"/>
          <w:szCs w:val="20"/>
          <w:color w:val="auto"/>
        </w:rPr>
      </w:pPr>
    </w:p>
    <w:p>
      <w:pPr>
        <w:ind w:right="60" w:firstLine="216"/>
        <w:spacing w:after="0" w:line="257" w:lineRule="auto"/>
        <w:rPr>
          <w:sz w:val="20"/>
          <w:szCs w:val="20"/>
          <w:color w:val="auto"/>
        </w:rPr>
      </w:pPr>
      <w:r>
        <w:rPr>
          <w:rFonts w:ascii="Times New Roman" w:cs="Times New Roman" w:eastAsia="Times New Roman" w:hAnsi="Times New Roman"/>
          <w:sz w:val="12"/>
          <w:szCs w:val="12"/>
          <w:color w:val="auto"/>
        </w:rPr>
        <w:t>PLEASE NOTE THAT YOU MUST FOLLOW THESE INSTRUCTIONS IN ORDER TO ATTEND AND BE ABLE TO VOTE AT THE ANNUAL MEETING: All stockholders may vote in person at the Annual Meeting. In addition, any stockholder may also be represented by another person at the Annual Meeting by executing a proper proxy designating that person as the proxy with power to vote your shares on your behalf. If you are a beneficial owner of shares, you must take the following three steps in order to be able to attend and vote at the Annual Meeting: (1) obtain a legal proxy from your broker, bank or other holder of record and present this legal proxy to the inspector of elections along with your ballot; (2) contact our Investor Relations department to obtain an admission card and present this admission card to the inspector of elections; and (3) present an acceptable form of photo identification, such as a driver’s license or passport, to the inspector of elections.</w:t>
      </w:r>
    </w:p>
    <w:p>
      <w:pPr>
        <w:spacing w:after="0" w:line="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Sincerely,</w:t>
      </w:r>
    </w:p>
    <w:p>
      <w:pPr>
        <w:spacing w:after="0" w:line="16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/s/ Wesley R. Edens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10795</wp:posOffset>
            </wp:positionV>
            <wp:extent cx="30289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28950" cy="5715"/>
                    </a:xfrm>
                    <a:prstGeom prst="rect">
                      <a:avLst/>
                    </a:prstGeom>
                    <a:noFill/>
                  </pic:spPr>
                </pic:pic>
              </a:graphicData>
            </a:graphic>
          </wp:anchor>
        </w:drawing>
      </w:r>
    </w:p>
    <w:p>
      <w:pPr>
        <w:spacing w:after="0" w:line="15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Wesley R. Edens</w:t>
      </w:r>
    </w:p>
    <w:p>
      <w:pPr>
        <w:spacing w:after="0" w:line="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i w:val="1"/>
          <w:iCs w:val="1"/>
          <w:color w:val="auto"/>
        </w:rPr>
        <w:t>Chairman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785495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43" w:right="299" w:bottom="1440" w:gutter="0" w:footer="0" w:header="0"/>
        </w:sectPr>
      </w:pPr>
    </w:p>
    <w:bookmarkStart w:id="2" w:name="page3"/>
    <w:bookmarkEnd w:id="2"/>
    <w:p>
      <w:pPr>
        <w:jc w:val="center"/>
        <w:ind w:right="-119"/>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spacing w:after="0" w:line="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b w:val="1"/>
          <w:bCs w:val="1"/>
          <w:color w:val="auto"/>
        </w:rPr>
        <w:t>NOTICE OF THE 2025 ANNUAL MEETING OF STOCKHOLDERS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To the Stockholders of New Fortress Energy Inc.:</w:t>
      </w:r>
    </w:p>
    <w:p>
      <w:pPr>
        <w:spacing w:after="0" w:line="154"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The annual meeting of stockholders (the "Annual Meeting") of New Fortress Energy Inc., a Delaware corporation, will be held at Skadden, Arps, Slate, Meagher &amp; Flom LLP and Affiliates, One Manhattan West, New York, New York 10001, on June 18, 2025, at 9:00 a.m., Eastern Time. The matters to be considered and acted upon by stockholders at the Annual Meeting, which are described in detail in the accompanying materials, are:</w:t>
      </w:r>
    </w:p>
    <w:p>
      <w:pPr>
        <w:spacing w:after="0" w:line="111" w:lineRule="exact"/>
        <w:rPr>
          <w:sz w:val="20"/>
          <w:szCs w:val="20"/>
          <w:color w:val="auto"/>
        </w:rPr>
      </w:pPr>
    </w:p>
    <w:p>
      <w:pPr>
        <w:ind w:left="480" w:hanging="272"/>
        <w:spacing w:after="0"/>
        <w:tabs>
          <w:tab w:leader="none" w:pos="48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proposal to elect three Class III directors to serve until the 2028 annual meeting of stockholders and until their successors are duly elected or appointed and qualified;</w:t>
      </w:r>
    </w:p>
    <w:p>
      <w:pPr>
        <w:spacing w:after="0" w:line="150" w:lineRule="exact"/>
        <w:rPr>
          <w:rFonts w:ascii="Times New Roman" w:cs="Times New Roman" w:eastAsia="Times New Roman" w:hAnsi="Times New Roman"/>
          <w:sz w:val="12"/>
          <w:szCs w:val="12"/>
          <w:color w:val="auto"/>
        </w:rPr>
      </w:pPr>
    </w:p>
    <w:p>
      <w:pPr>
        <w:ind w:left="500" w:hanging="292"/>
        <w:spacing w:after="0"/>
        <w:tabs>
          <w:tab w:leader="none" w:pos="50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proposal to approve the appointment of Ernst &amp; Young LLP as independent registered public accounting firm for the Company for fiscal year 2025; and</w:t>
      </w:r>
    </w:p>
    <w:p>
      <w:pPr>
        <w:spacing w:after="0" w:line="150" w:lineRule="exact"/>
        <w:rPr>
          <w:rFonts w:ascii="Times New Roman" w:cs="Times New Roman" w:eastAsia="Times New Roman" w:hAnsi="Times New Roman"/>
          <w:sz w:val="12"/>
          <w:szCs w:val="12"/>
          <w:color w:val="auto"/>
        </w:rPr>
      </w:pPr>
    </w:p>
    <w:p>
      <w:pPr>
        <w:ind w:left="540" w:hanging="332"/>
        <w:spacing w:after="0"/>
        <w:tabs>
          <w:tab w:leader="none" w:pos="54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business properly presented at the Annual Meeting.</w:t>
      </w:r>
    </w:p>
    <w:p>
      <w:pPr>
        <w:spacing w:after="0" w:line="146" w:lineRule="exact"/>
        <w:rPr>
          <w:sz w:val="20"/>
          <w:szCs w:val="20"/>
          <w:color w:val="auto"/>
        </w:rPr>
      </w:pPr>
    </w:p>
    <w:p>
      <w:pPr>
        <w:ind w:right="20" w:firstLine="216"/>
        <w:spacing w:after="0" w:line="262" w:lineRule="auto"/>
        <w:rPr>
          <w:sz w:val="20"/>
          <w:szCs w:val="20"/>
          <w:color w:val="auto"/>
        </w:rPr>
      </w:pPr>
      <w:r>
        <w:rPr>
          <w:rFonts w:ascii="Times New Roman" w:cs="Times New Roman" w:eastAsia="Times New Roman" w:hAnsi="Times New Roman"/>
          <w:sz w:val="12"/>
          <w:szCs w:val="12"/>
          <w:color w:val="auto"/>
        </w:rPr>
        <w:t xml:space="preserve">Stockholders of record at the close of business on April 28, 2025 will be entitled to notice of and to vote at the Annual Meeting. </w:t>
      </w:r>
      <w:r>
        <w:rPr>
          <w:rFonts w:ascii="Times New Roman" w:cs="Times New Roman" w:eastAsia="Times New Roman" w:hAnsi="Times New Roman"/>
          <w:sz w:val="12"/>
          <w:szCs w:val="12"/>
          <w:b w:val="1"/>
          <w:bCs w:val="1"/>
          <w:color w:val="auto"/>
        </w:rPr>
        <w:t>It is important that your shares be represented at the Annual Meeting regardless of the size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your holdings. </w:t>
      </w:r>
      <w:r>
        <w:rPr>
          <w:rFonts w:ascii="Times New Roman" w:cs="Times New Roman" w:eastAsia="Times New Roman" w:hAnsi="Times New Roman"/>
          <w:sz w:val="12"/>
          <w:szCs w:val="12"/>
          <w:color w:val="auto"/>
        </w:rPr>
        <w:t>A Proxy Statement, proxy card and self-addressed envelope are enclosed. Return the proxy card promptly in the envelope provided, which requires no postage if mailed in the United States. You can also vote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telephone or by the Internet by following the instructions provided on the proxy card. Whether or not you plan to attend the Annual Meeting in person, please vote by one of these three methods. If you are the record holder of your shares and you attend the meeting, you may revoke your proxy and vote in person, if you so choose.</w:t>
      </w:r>
    </w:p>
    <w:p>
      <w:pPr>
        <w:spacing w:after="0" w:line="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By Order of the Board of Directors,</w:t>
      </w:r>
    </w:p>
    <w:p>
      <w:pPr>
        <w:spacing w:after="0" w:line="16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/s/ Kevin F.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10795</wp:posOffset>
            </wp:positionV>
            <wp:extent cx="30289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28950" cy="5715"/>
                    </a:xfrm>
                    <a:prstGeom prst="rect">
                      <a:avLst/>
                    </a:prstGeom>
                    <a:noFill/>
                  </pic:spPr>
                </pic:pic>
              </a:graphicData>
            </a:graphic>
          </wp:anchor>
        </w:drawing>
      </w:r>
    </w:p>
    <w:p>
      <w:pPr>
        <w:spacing w:after="0" w:line="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Kevin F. Sullivan</w:t>
      </w:r>
    </w:p>
    <w:p>
      <w:pPr>
        <w:spacing w:after="0" w:line="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i w:val="1"/>
          <w:iCs w:val="1"/>
          <w:color w:val="auto"/>
        </w:rPr>
        <w:t>Secretary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111 W. 19</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Street, 8</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Floor</w:t>
      </w:r>
    </w:p>
    <w:p>
      <w:pPr>
        <w:spacing w:after="0"/>
        <w:rPr>
          <w:sz w:val="20"/>
          <w:szCs w:val="20"/>
          <w:color w:val="auto"/>
        </w:rPr>
      </w:pPr>
      <w:r>
        <w:rPr>
          <w:rFonts w:ascii="Times New Roman" w:cs="Times New Roman" w:eastAsia="Times New Roman" w:hAnsi="Times New Roman"/>
          <w:sz w:val="12"/>
          <w:szCs w:val="12"/>
          <w:color w:val="auto"/>
        </w:rPr>
        <w:t>New York, New York 10011</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April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323850</wp:posOffset>
            </wp:positionV>
            <wp:extent cx="6075045" cy="582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75045" cy="58293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b w:val="1"/>
          <w:bCs w:val="1"/>
          <w:color w:val="auto"/>
        </w:rPr>
        <w:t>IMPORTANT NOTICE REGARDING THE AVAILABILITY OF PROXY MATERIALS</w:t>
      </w:r>
    </w:p>
    <w:p>
      <w:pPr>
        <w:spacing w:after="0" w:line="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b w:val="1"/>
          <w:bCs w:val="1"/>
          <w:color w:val="auto"/>
        </w:rPr>
        <w:t>FOR THE STOCKHOLDER MEETING TO BE HELD ON June 18, 2025:</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b w:val="1"/>
          <w:bCs w:val="1"/>
          <w:color w:val="auto"/>
        </w:rPr>
        <w:t> </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b w:val="1"/>
          <w:bCs w:val="1"/>
          <w:color w:val="auto"/>
        </w:rPr>
        <w:t>The Notice of Annual Meeting, Proxy Statement and the Annual Report on Form 10-K</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b w:val="1"/>
          <w:bCs w:val="1"/>
          <w:color w:val="auto"/>
        </w:rPr>
        <w:t>are available on the Investor Relations section of our website at</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2"/>
          <w:szCs w:val="12"/>
          <w:b w:val="1"/>
          <w:bCs w:val="1"/>
          <w:u w:val="single" w:color="auto"/>
          <w:color w:val="auto"/>
        </w:rPr>
        <w:t>www.newfortressenergy.com.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1699895</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80"/>
          </w:cols>
          <w:pgMar w:left="300" w:top="557"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59"/>
        </w:trPr>
        <w:tc>
          <w:tcPr>
            <w:tcW w:w="4260" w:type="dxa"/>
            <w:vAlign w:val="bottom"/>
          </w:tcPr>
          <w:p>
            <w:pPr>
              <w:spacing w:after="0"/>
              <w:rPr>
                <w:sz w:val="13"/>
                <w:szCs w:val="13"/>
                <w:color w:val="auto"/>
              </w:rPr>
            </w:pPr>
          </w:p>
        </w:tc>
        <w:tc>
          <w:tcPr>
            <w:tcW w:w="7040" w:type="dxa"/>
            <w:vAlign w:val="bottom"/>
            <w:gridSpan w:val="4"/>
          </w:tcPr>
          <w:p>
            <w:pPr>
              <w:ind w:left="740"/>
              <w:spacing w:after="0"/>
              <w:rPr>
                <w:sz w:val="20"/>
                <w:szCs w:val="20"/>
                <w:color w:val="auto"/>
              </w:rPr>
            </w:pPr>
            <w:r>
              <w:rPr>
                <w:rFonts w:ascii="Times New Roman" w:cs="Times New Roman" w:eastAsia="Times New Roman" w:hAnsi="Times New Roman"/>
                <w:sz w:val="12"/>
                <w:szCs w:val="12"/>
                <w:b w:val="1"/>
                <w:bCs w:val="1"/>
                <w:color w:val="auto"/>
              </w:rPr>
              <w:t>TABLE OF CONTENTS</w:t>
            </w:r>
          </w:p>
        </w:tc>
      </w:tr>
      <w:tr>
        <w:trPr>
          <w:trHeight w:val="289"/>
        </w:trPr>
        <w:tc>
          <w:tcPr>
            <w:tcW w:w="4260" w:type="dxa"/>
            <w:vAlign w:val="bottom"/>
            <w:tcBorders>
              <w:bottom w:val="single" w:sz="8" w:color="CCEEFF"/>
            </w:tcBorders>
          </w:tcPr>
          <w:p>
            <w:pPr>
              <w:spacing w:after="0"/>
              <w:rPr>
                <w:sz w:val="24"/>
                <w:szCs w:val="24"/>
                <w:color w:val="auto"/>
              </w:rPr>
            </w:pPr>
          </w:p>
        </w:tc>
        <w:tc>
          <w:tcPr>
            <w:tcW w:w="6360" w:type="dxa"/>
            <w:vAlign w:val="bottom"/>
            <w:tcBorders>
              <w:bottom w:val="single" w:sz="8" w:color="CCEEFF"/>
            </w:tcBorders>
          </w:tcPr>
          <w:p>
            <w:pPr>
              <w:spacing w:after="0"/>
              <w:rPr>
                <w:sz w:val="24"/>
                <w:szCs w:val="24"/>
                <w:color w:val="auto"/>
              </w:rPr>
            </w:pPr>
          </w:p>
        </w:tc>
        <w:tc>
          <w:tcPr>
            <w:tcW w:w="6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0"/>
                <w:szCs w:val="10"/>
                <w:b w:val="1"/>
                <w:bCs w:val="1"/>
                <w:color w:val="auto"/>
              </w:rPr>
              <w:t>Page</w:t>
            </w:r>
          </w:p>
        </w:tc>
      </w:tr>
      <w:tr>
        <w:trPr>
          <w:trHeight w:val="15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GENERAL INFORMATION ABOUT VOTING</w:t>
            </w:r>
          </w:p>
        </w:tc>
        <w:tc>
          <w:tcPr>
            <w:tcW w:w="63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center"/>
              <w:ind w:left="206"/>
              <w:spacing w:after="0"/>
              <w:rPr>
                <w:sz w:val="20"/>
                <w:szCs w:val="20"/>
                <w:color w:val="auto"/>
              </w:rPr>
            </w:pPr>
            <w:r>
              <w:rPr>
                <w:rFonts w:ascii="Times New Roman" w:cs="Times New Roman" w:eastAsia="Times New Roman" w:hAnsi="Times New Roman"/>
                <w:sz w:val="12"/>
                <w:szCs w:val="12"/>
                <w:color w:val="auto"/>
                <w:w w:val="99"/>
              </w:rPr>
              <w:t>1</w:t>
            </w:r>
          </w:p>
        </w:tc>
        <w:tc>
          <w:tcPr>
            <w:tcW w:w="280" w:type="dxa"/>
            <w:vAlign w:val="bottom"/>
            <w:shd w:val="clear" w:color="auto" w:fill="CCEEFF"/>
          </w:tcPr>
          <w:p>
            <w:pPr>
              <w:spacing w:after="0"/>
              <w:rPr>
                <w:sz w:val="13"/>
                <w:szCs w:val="13"/>
                <w:color w:val="auto"/>
              </w:rPr>
            </w:pPr>
          </w:p>
        </w:tc>
      </w:tr>
      <w:tr>
        <w:trPr>
          <w:trHeight w:val="153"/>
        </w:trPr>
        <w:tc>
          <w:tcPr>
            <w:tcW w:w="426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Solicitation of Proxies</w:t>
            </w:r>
          </w:p>
        </w:tc>
        <w:tc>
          <w:tcPr>
            <w:tcW w:w="6760" w:type="dxa"/>
            <w:vAlign w:val="bottom"/>
            <w:gridSpan w:val="3"/>
            <w:shd w:val="clear" w:color="auto" w:fill="CCEEFF"/>
          </w:tcPr>
          <w:p>
            <w:pPr>
              <w:jc w:val="center"/>
              <w:ind w:left="6560"/>
              <w:spacing w:after="0"/>
              <w:rPr>
                <w:sz w:val="20"/>
                <w:szCs w:val="20"/>
                <w:color w:val="auto"/>
              </w:rPr>
            </w:pPr>
            <w:r>
              <w:rPr>
                <w:rFonts w:ascii="Times New Roman" w:cs="Times New Roman" w:eastAsia="Times New Roman" w:hAnsi="Times New Roman"/>
                <w:sz w:val="12"/>
                <w:szCs w:val="12"/>
                <w:u w:val="single" w:color="auto"/>
                <w:color w:val="auto"/>
                <w:w w:val="99"/>
              </w:rPr>
              <w:t>2</w:t>
            </w:r>
          </w:p>
        </w:tc>
        <w:tc>
          <w:tcPr>
            <w:tcW w:w="280" w:type="dxa"/>
            <w:vAlign w:val="bottom"/>
            <w:shd w:val="clear" w:color="auto" w:fill="CCEEFF"/>
          </w:tcPr>
          <w:p>
            <w:pPr>
              <w:spacing w:after="0"/>
              <w:rPr>
                <w:sz w:val="13"/>
                <w:szCs w:val="13"/>
                <w:color w:val="auto"/>
              </w:rPr>
            </w:pPr>
          </w:p>
        </w:tc>
      </w:tr>
      <w:tr>
        <w:trPr>
          <w:trHeight w:val="153"/>
        </w:trPr>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Stockholders Entitled to Vote</w:t>
            </w:r>
          </w:p>
        </w:tc>
        <w:tc>
          <w:tcPr>
            <w:tcW w:w="6760" w:type="dxa"/>
            <w:vAlign w:val="bottom"/>
            <w:gridSpan w:val="3"/>
          </w:tcPr>
          <w:p>
            <w:pPr>
              <w:jc w:val="center"/>
              <w:ind w:left="6560"/>
              <w:spacing w:after="0"/>
              <w:rPr>
                <w:sz w:val="20"/>
                <w:szCs w:val="20"/>
                <w:color w:val="auto"/>
              </w:rPr>
            </w:pPr>
            <w:r>
              <w:rPr>
                <w:rFonts w:ascii="Times New Roman" w:cs="Times New Roman" w:eastAsia="Times New Roman" w:hAnsi="Times New Roman"/>
                <w:sz w:val="12"/>
                <w:szCs w:val="12"/>
                <w:u w:val="single" w:color="auto"/>
                <w:color w:val="auto"/>
                <w:w w:val="99"/>
              </w:rPr>
              <w:t>2</w:t>
            </w:r>
          </w:p>
        </w:tc>
        <w:tc>
          <w:tcPr>
            <w:tcW w:w="280" w:type="dxa"/>
            <w:vAlign w:val="bottom"/>
          </w:tcPr>
          <w:p>
            <w:pPr>
              <w:spacing w:after="0"/>
              <w:rPr>
                <w:sz w:val="13"/>
                <w:szCs w:val="13"/>
                <w:color w:val="auto"/>
              </w:rPr>
            </w:pPr>
          </w:p>
        </w:tc>
      </w:tr>
      <w:tr>
        <w:trPr>
          <w:trHeight w:val="15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Required Vote</w:t>
            </w:r>
          </w:p>
        </w:tc>
        <w:tc>
          <w:tcPr>
            <w:tcW w:w="6760" w:type="dxa"/>
            <w:vAlign w:val="bottom"/>
            <w:gridSpan w:val="3"/>
            <w:shd w:val="clear" w:color="auto" w:fill="CCEEFF"/>
          </w:tcPr>
          <w:p>
            <w:pPr>
              <w:jc w:val="center"/>
              <w:ind w:left="6560"/>
              <w:spacing w:after="0"/>
              <w:rPr>
                <w:sz w:val="20"/>
                <w:szCs w:val="20"/>
                <w:color w:val="auto"/>
              </w:rPr>
            </w:pPr>
            <w:r>
              <w:rPr>
                <w:rFonts w:ascii="Times New Roman" w:cs="Times New Roman" w:eastAsia="Times New Roman" w:hAnsi="Times New Roman"/>
                <w:sz w:val="12"/>
                <w:szCs w:val="12"/>
                <w:u w:val="single" w:color="auto"/>
                <w:color w:val="auto"/>
                <w:w w:val="99"/>
              </w:rPr>
              <w:t>2</w:t>
            </w:r>
          </w:p>
        </w:tc>
        <w:tc>
          <w:tcPr>
            <w:tcW w:w="280" w:type="dxa"/>
            <w:vAlign w:val="bottom"/>
            <w:shd w:val="clear" w:color="auto" w:fill="CCEEFF"/>
          </w:tcPr>
          <w:p>
            <w:pPr>
              <w:spacing w:after="0"/>
              <w:rPr>
                <w:sz w:val="13"/>
                <w:szCs w:val="13"/>
                <w:color w:val="auto"/>
              </w:rPr>
            </w:pPr>
          </w:p>
        </w:tc>
      </w:tr>
      <w:tr>
        <w:trPr>
          <w:trHeight w:val="153"/>
        </w:trPr>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Voting</w:t>
            </w:r>
          </w:p>
        </w:tc>
        <w:tc>
          <w:tcPr>
            <w:tcW w:w="6760" w:type="dxa"/>
            <w:vAlign w:val="bottom"/>
            <w:gridSpan w:val="3"/>
          </w:tcPr>
          <w:p>
            <w:pPr>
              <w:jc w:val="center"/>
              <w:ind w:left="6560"/>
              <w:spacing w:after="0"/>
              <w:rPr>
                <w:sz w:val="20"/>
                <w:szCs w:val="20"/>
                <w:color w:val="auto"/>
              </w:rPr>
            </w:pPr>
            <w:r>
              <w:rPr>
                <w:rFonts w:ascii="Times New Roman" w:cs="Times New Roman" w:eastAsia="Times New Roman" w:hAnsi="Times New Roman"/>
                <w:sz w:val="12"/>
                <w:szCs w:val="12"/>
                <w:u w:val="single" w:color="auto"/>
                <w:color w:val="auto"/>
                <w:w w:val="99"/>
              </w:rPr>
              <w:t>3</w:t>
            </w:r>
          </w:p>
        </w:tc>
        <w:tc>
          <w:tcPr>
            <w:tcW w:w="280" w:type="dxa"/>
            <w:vAlign w:val="bottom"/>
          </w:tcPr>
          <w:p>
            <w:pPr>
              <w:spacing w:after="0"/>
              <w:rPr>
                <w:sz w:val="13"/>
                <w:szCs w:val="13"/>
                <w:color w:val="auto"/>
              </w:rPr>
            </w:pPr>
          </w:p>
        </w:tc>
      </w:tr>
      <w:tr>
        <w:trPr>
          <w:trHeight w:val="15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Right to Revoke Proxy</w:t>
            </w:r>
          </w:p>
        </w:tc>
        <w:tc>
          <w:tcPr>
            <w:tcW w:w="6760" w:type="dxa"/>
            <w:vAlign w:val="bottom"/>
            <w:gridSpan w:val="3"/>
            <w:shd w:val="clear" w:color="auto" w:fill="CCEEFF"/>
          </w:tcPr>
          <w:p>
            <w:pPr>
              <w:jc w:val="center"/>
              <w:ind w:left="6560"/>
              <w:spacing w:after="0"/>
              <w:rPr>
                <w:sz w:val="20"/>
                <w:szCs w:val="20"/>
                <w:color w:val="auto"/>
              </w:rPr>
            </w:pPr>
            <w:r>
              <w:rPr>
                <w:rFonts w:ascii="Times New Roman" w:cs="Times New Roman" w:eastAsia="Times New Roman" w:hAnsi="Times New Roman"/>
                <w:sz w:val="12"/>
                <w:szCs w:val="12"/>
                <w:u w:val="single" w:color="auto"/>
                <w:color w:val="auto"/>
                <w:w w:val="99"/>
              </w:rPr>
              <w:t>3</w:t>
            </w:r>
          </w:p>
        </w:tc>
        <w:tc>
          <w:tcPr>
            <w:tcW w:w="280" w:type="dxa"/>
            <w:vAlign w:val="bottom"/>
            <w:shd w:val="clear" w:color="auto" w:fill="CCEEFF"/>
          </w:tcPr>
          <w:p>
            <w:pPr>
              <w:spacing w:after="0"/>
              <w:rPr>
                <w:sz w:val="13"/>
                <w:szCs w:val="13"/>
                <w:color w:val="auto"/>
              </w:rPr>
            </w:pPr>
          </w:p>
        </w:tc>
      </w:tr>
      <w:tr>
        <w:trPr>
          <w:trHeight w:val="153"/>
        </w:trPr>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Copies of Annual Report to Stockholders</w:t>
            </w:r>
          </w:p>
        </w:tc>
        <w:tc>
          <w:tcPr>
            <w:tcW w:w="6760" w:type="dxa"/>
            <w:vAlign w:val="bottom"/>
            <w:gridSpan w:val="3"/>
          </w:tcPr>
          <w:p>
            <w:pPr>
              <w:jc w:val="center"/>
              <w:ind w:left="6560"/>
              <w:spacing w:after="0"/>
              <w:rPr>
                <w:sz w:val="20"/>
                <w:szCs w:val="20"/>
                <w:color w:val="auto"/>
              </w:rPr>
            </w:pPr>
            <w:r>
              <w:rPr>
                <w:rFonts w:ascii="Times New Roman" w:cs="Times New Roman" w:eastAsia="Times New Roman" w:hAnsi="Times New Roman"/>
                <w:sz w:val="12"/>
                <w:szCs w:val="12"/>
                <w:u w:val="single" w:color="auto"/>
                <w:color w:val="auto"/>
                <w:w w:val="99"/>
              </w:rPr>
              <w:t>3</w:t>
            </w:r>
          </w:p>
        </w:tc>
        <w:tc>
          <w:tcPr>
            <w:tcW w:w="280" w:type="dxa"/>
            <w:vAlign w:val="bottom"/>
          </w:tcPr>
          <w:p>
            <w:pPr>
              <w:spacing w:after="0"/>
              <w:rPr>
                <w:sz w:val="13"/>
                <w:szCs w:val="13"/>
                <w:color w:val="auto"/>
              </w:rPr>
            </w:pPr>
          </w:p>
        </w:tc>
      </w:tr>
      <w:tr>
        <w:trPr>
          <w:trHeight w:val="15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Voting Results</w:t>
            </w:r>
          </w:p>
        </w:tc>
        <w:tc>
          <w:tcPr>
            <w:tcW w:w="6760" w:type="dxa"/>
            <w:vAlign w:val="bottom"/>
            <w:gridSpan w:val="3"/>
            <w:shd w:val="clear" w:color="auto" w:fill="CCEEFF"/>
          </w:tcPr>
          <w:p>
            <w:pPr>
              <w:jc w:val="center"/>
              <w:ind w:left="6560"/>
              <w:spacing w:after="0"/>
              <w:rPr>
                <w:sz w:val="20"/>
                <w:szCs w:val="20"/>
                <w:color w:val="auto"/>
              </w:rPr>
            </w:pPr>
            <w:r>
              <w:rPr>
                <w:rFonts w:ascii="Times New Roman" w:cs="Times New Roman" w:eastAsia="Times New Roman" w:hAnsi="Times New Roman"/>
                <w:sz w:val="12"/>
                <w:szCs w:val="12"/>
                <w:u w:val="single" w:color="auto"/>
                <w:color w:val="auto"/>
                <w:w w:val="99"/>
              </w:rPr>
              <w:t>3</w:t>
            </w:r>
          </w:p>
        </w:tc>
        <w:tc>
          <w:tcPr>
            <w:tcW w:w="280" w:type="dxa"/>
            <w:vAlign w:val="bottom"/>
            <w:shd w:val="clear" w:color="auto" w:fill="CCEEFF"/>
          </w:tcPr>
          <w:p>
            <w:pPr>
              <w:spacing w:after="0"/>
              <w:rPr>
                <w:sz w:val="13"/>
                <w:szCs w:val="13"/>
                <w:color w:val="auto"/>
              </w:rPr>
            </w:pPr>
          </w:p>
        </w:tc>
      </w:tr>
      <w:tr>
        <w:trPr>
          <w:trHeight w:val="153"/>
        </w:trPr>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Confidentiality of Voting</w:t>
            </w:r>
          </w:p>
        </w:tc>
        <w:tc>
          <w:tcPr>
            <w:tcW w:w="6760" w:type="dxa"/>
            <w:vAlign w:val="bottom"/>
            <w:gridSpan w:val="3"/>
          </w:tcPr>
          <w:p>
            <w:pPr>
              <w:jc w:val="center"/>
              <w:ind w:left="6560"/>
              <w:spacing w:after="0"/>
              <w:rPr>
                <w:sz w:val="20"/>
                <w:szCs w:val="20"/>
                <w:color w:val="auto"/>
              </w:rPr>
            </w:pPr>
            <w:r>
              <w:rPr>
                <w:rFonts w:ascii="Times New Roman" w:cs="Times New Roman" w:eastAsia="Times New Roman" w:hAnsi="Times New Roman"/>
                <w:sz w:val="12"/>
                <w:szCs w:val="12"/>
                <w:u w:val="single" w:color="auto"/>
                <w:color w:val="auto"/>
                <w:w w:val="99"/>
              </w:rPr>
              <w:t>3</w:t>
            </w:r>
          </w:p>
        </w:tc>
        <w:tc>
          <w:tcPr>
            <w:tcW w:w="280" w:type="dxa"/>
            <w:vAlign w:val="bottom"/>
          </w:tcPr>
          <w:p>
            <w:pPr>
              <w:spacing w:after="0"/>
              <w:rPr>
                <w:sz w:val="13"/>
                <w:szCs w:val="13"/>
                <w:color w:val="auto"/>
              </w:rPr>
            </w:pPr>
          </w:p>
        </w:tc>
      </w:tr>
      <w:tr>
        <w:trPr>
          <w:trHeight w:val="15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Recommendations of the Board of Directors</w:t>
            </w:r>
          </w:p>
        </w:tc>
        <w:tc>
          <w:tcPr>
            <w:tcW w:w="6760" w:type="dxa"/>
            <w:vAlign w:val="bottom"/>
            <w:gridSpan w:val="3"/>
            <w:shd w:val="clear" w:color="auto" w:fill="CCEEFF"/>
          </w:tcPr>
          <w:p>
            <w:pPr>
              <w:jc w:val="center"/>
              <w:ind w:left="6560"/>
              <w:spacing w:after="0"/>
              <w:rPr>
                <w:sz w:val="20"/>
                <w:szCs w:val="20"/>
                <w:color w:val="auto"/>
              </w:rPr>
            </w:pPr>
            <w:r>
              <w:rPr>
                <w:rFonts w:ascii="Times New Roman" w:cs="Times New Roman" w:eastAsia="Times New Roman" w:hAnsi="Times New Roman"/>
                <w:sz w:val="12"/>
                <w:szCs w:val="12"/>
                <w:u w:val="single" w:color="auto"/>
                <w:color w:val="auto"/>
                <w:w w:val="99"/>
              </w:rPr>
              <w:t>4</w:t>
            </w:r>
          </w:p>
        </w:tc>
        <w:tc>
          <w:tcPr>
            <w:tcW w:w="280" w:type="dxa"/>
            <w:vAlign w:val="bottom"/>
            <w:shd w:val="clear" w:color="auto" w:fill="CCEEFF"/>
          </w:tcPr>
          <w:p>
            <w:pPr>
              <w:spacing w:after="0"/>
              <w:rPr>
                <w:sz w:val="13"/>
                <w:szCs w:val="13"/>
                <w:color w:val="auto"/>
              </w:rPr>
            </w:pPr>
          </w:p>
        </w:tc>
      </w:tr>
      <w:tr>
        <w:trPr>
          <w:trHeight w:val="153"/>
        </w:trPr>
        <w:tc>
          <w:tcPr>
            <w:tcW w:w="426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PROPOSAL NO. 1 ELECTION OF DIRECTORS</w:t>
            </w:r>
          </w:p>
        </w:tc>
        <w:tc>
          <w:tcPr>
            <w:tcW w:w="6760" w:type="dxa"/>
            <w:vAlign w:val="bottom"/>
            <w:gridSpan w:val="3"/>
            <w:shd w:val="clear" w:color="auto" w:fill="CCEEFF"/>
          </w:tcPr>
          <w:p>
            <w:pPr>
              <w:jc w:val="center"/>
              <w:ind w:left="6560"/>
              <w:spacing w:after="0"/>
              <w:rPr>
                <w:sz w:val="20"/>
                <w:szCs w:val="20"/>
                <w:color w:val="auto"/>
              </w:rPr>
            </w:pPr>
            <w:r>
              <w:rPr>
                <w:rFonts w:ascii="Times New Roman" w:cs="Times New Roman" w:eastAsia="Times New Roman" w:hAnsi="Times New Roman"/>
                <w:sz w:val="12"/>
                <w:szCs w:val="12"/>
                <w:u w:val="single" w:color="auto"/>
                <w:color w:val="auto"/>
                <w:w w:val="99"/>
              </w:rPr>
              <w:t>5</w:t>
            </w:r>
          </w:p>
        </w:tc>
        <w:tc>
          <w:tcPr>
            <w:tcW w:w="280" w:type="dxa"/>
            <w:vAlign w:val="bottom"/>
            <w:shd w:val="clear" w:color="auto" w:fill="CCEEFF"/>
          </w:tcPr>
          <w:p>
            <w:pPr>
              <w:spacing w:after="0"/>
              <w:rPr>
                <w:sz w:val="13"/>
                <w:szCs w:val="13"/>
                <w:color w:val="auto"/>
              </w:rPr>
            </w:pPr>
          </w:p>
        </w:tc>
      </w:tr>
      <w:tr>
        <w:trPr>
          <w:trHeight w:val="153"/>
        </w:trPr>
        <w:tc>
          <w:tcPr>
            <w:tcW w:w="426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153"/>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Information Concerning Our Directors, Including the Director Nominees</w:t>
            </w:r>
          </w:p>
        </w:tc>
        <w:tc>
          <w:tcPr>
            <w:tcW w:w="6760" w:type="dxa"/>
            <w:vAlign w:val="bottom"/>
            <w:gridSpan w:val="3"/>
            <w:shd w:val="clear" w:color="auto" w:fill="CCEEFF"/>
          </w:tcPr>
          <w:p>
            <w:pPr>
              <w:jc w:val="center"/>
              <w:ind w:left="6560"/>
              <w:spacing w:after="0"/>
              <w:rPr>
                <w:sz w:val="20"/>
                <w:szCs w:val="20"/>
                <w:color w:val="auto"/>
              </w:rPr>
            </w:pPr>
            <w:r>
              <w:rPr>
                <w:rFonts w:ascii="Times New Roman" w:cs="Times New Roman" w:eastAsia="Times New Roman" w:hAnsi="Times New Roman"/>
                <w:sz w:val="12"/>
                <w:szCs w:val="12"/>
                <w:u w:val="single" w:color="auto"/>
                <w:color w:val="auto"/>
                <w:w w:val="99"/>
              </w:rPr>
              <w:t>6</w:t>
            </w:r>
          </w:p>
        </w:tc>
        <w:tc>
          <w:tcPr>
            <w:tcW w:w="280" w:type="dxa"/>
            <w:vAlign w:val="bottom"/>
            <w:shd w:val="clear" w:color="auto" w:fill="CCEEFF"/>
          </w:tcPr>
          <w:p>
            <w:pPr>
              <w:spacing w:after="0"/>
              <w:rPr>
                <w:sz w:val="13"/>
                <w:szCs w:val="13"/>
                <w:color w:val="auto"/>
              </w:rPr>
            </w:pPr>
          </w:p>
        </w:tc>
      </w:tr>
      <w:tr>
        <w:trPr>
          <w:trHeight w:val="153"/>
        </w:trPr>
        <w:tc>
          <w:tcPr>
            <w:tcW w:w="4260" w:type="dxa"/>
            <w:vAlign w:val="bottom"/>
          </w:tcPr>
          <w:p>
            <w:pPr>
              <w:spacing w:after="0"/>
              <w:rPr>
                <w:sz w:val="20"/>
                <w:szCs w:val="20"/>
                <w:color w:val="auto"/>
              </w:rPr>
            </w:pPr>
            <w:r>
              <w:rPr>
                <w:rFonts w:ascii="Times New Roman" w:cs="Times New Roman" w:eastAsia="Times New Roman" w:hAnsi="Times New Roman"/>
                <w:sz w:val="12"/>
                <w:szCs w:val="12"/>
                <w:color w:val="auto"/>
              </w:rPr>
              <w:t>Determination of Director Independence</w:t>
            </w:r>
          </w:p>
        </w:tc>
        <w:tc>
          <w:tcPr>
            <w:tcW w:w="6760" w:type="dxa"/>
            <w:vAlign w:val="bottom"/>
            <w:gridSpan w:val="3"/>
          </w:tcPr>
          <w:p>
            <w:pPr>
              <w:jc w:val="center"/>
              <w:ind w:left="6560"/>
              <w:spacing w:after="0"/>
              <w:rPr>
                <w:sz w:val="20"/>
                <w:szCs w:val="20"/>
                <w:color w:val="auto"/>
              </w:rPr>
            </w:pPr>
            <w:r>
              <w:rPr>
                <w:rFonts w:ascii="Times New Roman" w:cs="Times New Roman" w:eastAsia="Times New Roman" w:hAnsi="Times New Roman"/>
                <w:sz w:val="12"/>
                <w:szCs w:val="12"/>
                <w:u w:val="single" w:color="auto"/>
                <w:color w:val="auto"/>
                <w:w w:val="99"/>
              </w:rPr>
              <w:t>9</w:t>
            </w:r>
          </w:p>
        </w:tc>
        <w:tc>
          <w:tcPr>
            <w:tcW w:w="280" w:type="dxa"/>
            <w:vAlign w:val="bottom"/>
          </w:tcPr>
          <w:p>
            <w:pPr>
              <w:spacing w:after="0"/>
              <w:rPr>
                <w:sz w:val="13"/>
                <w:szCs w:val="13"/>
                <w:color w:val="auto"/>
              </w:rPr>
            </w:pPr>
          </w:p>
        </w:tc>
      </w:tr>
      <w:tr>
        <w:trPr>
          <w:trHeight w:val="126"/>
        </w:trPr>
        <w:tc>
          <w:tcPr>
            <w:tcW w:w="4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Statement on Corporate Governance</w:t>
            </w:r>
          </w:p>
        </w:tc>
        <w:tc>
          <w:tcPr>
            <w:tcW w:w="6760" w:type="dxa"/>
            <w:vAlign w:val="bottom"/>
            <w:gridSpan w:val="3"/>
            <w:shd w:val="clear" w:color="auto" w:fill="CCEEFF"/>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10</w:t>
            </w:r>
          </w:p>
        </w:tc>
        <w:tc>
          <w:tcPr>
            <w:tcW w:w="280" w:type="dxa"/>
            <w:vAlign w:val="bottom"/>
            <w:shd w:val="clear" w:color="auto" w:fill="CCEEFF"/>
          </w:tcPr>
          <w:p>
            <w:pPr>
              <w:spacing w:after="0"/>
              <w:rPr>
                <w:sz w:val="10"/>
                <w:szCs w:val="10"/>
                <w:color w:val="auto"/>
              </w:rPr>
            </w:pPr>
          </w:p>
        </w:tc>
      </w:tr>
      <w:tr>
        <w:trPr>
          <w:trHeight w:val="27"/>
        </w:trPr>
        <w:tc>
          <w:tcPr>
            <w:tcW w:w="4260" w:type="dxa"/>
            <w:vAlign w:val="bottom"/>
            <w:shd w:val="clear" w:color="auto" w:fill="CCEEFF"/>
          </w:tcPr>
          <w:p>
            <w:pPr>
              <w:spacing w:after="0"/>
              <w:rPr>
                <w:sz w:val="2"/>
                <w:szCs w:val="2"/>
                <w:color w:val="auto"/>
              </w:rPr>
            </w:pPr>
          </w:p>
        </w:tc>
        <w:tc>
          <w:tcPr>
            <w:tcW w:w="6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26"/>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Sustainability</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10</w:t>
            </w:r>
          </w:p>
        </w:tc>
        <w:tc>
          <w:tcPr>
            <w:tcW w:w="280" w:type="dxa"/>
            <w:vAlign w:val="bottom"/>
          </w:tcPr>
          <w:p>
            <w:pPr>
              <w:spacing w:after="0"/>
              <w:rPr>
                <w:sz w:val="10"/>
                <w:szCs w:val="10"/>
                <w:color w:val="auto"/>
              </w:rPr>
            </w:pPr>
          </w:p>
        </w:tc>
      </w:tr>
      <w:tr>
        <w:trPr>
          <w:trHeight w:val="27"/>
        </w:trPr>
        <w:tc>
          <w:tcPr>
            <w:tcW w:w="42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126"/>
        </w:trPr>
        <w:tc>
          <w:tcPr>
            <w:tcW w:w="4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Code of Conduct</w:t>
            </w:r>
          </w:p>
        </w:tc>
        <w:tc>
          <w:tcPr>
            <w:tcW w:w="6760" w:type="dxa"/>
            <w:vAlign w:val="bottom"/>
            <w:gridSpan w:val="3"/>
            <w:shd w:val="clear" w:color="auto" w:fill="CCEEFF"/>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10</w:t>
            </w:r>
          </w:p>
        </w:tc>
        <w:tc>
          <w:tcPr>
            <w:tcW w:w="280" w:type="dxa"/>
            <w:vAlign w:val="bottom"/>
            <w:shd w:val="clear" w:color="auto" w:fill="CCEEFF"/>
          </w:tcPr>
          <w:p>
            <w:pPr>
              <w:spacing w:after="0"/>
              <w:rPr>
                <w:sz w:val="10"/>
                <w:szCs w:val="10"/>
                <w:color w:val="auto"/>
              </w:rPr>
            </w:pPr>
          </w:p>
        </w:tc>
      </w:tr>
      <w:tr>
        <w:trPr>
          <w:trHeight w:val="27"/>
        </w:trPr>
        <w:tc>
          <w:tcPr>
            <w:tcW w:w="4260" w:type="dxa"/>
            <w:vAlign w:val="bottom"/>
            <w:shd w:val="clear" w:color="auto" w:fill="CCEEFF"/>
          </w:tcPr>
          <w:p>
            <w:pPr>
              <w:spacing w:after="0"/>
              <w:rPr>
                <w:sz w:val="2"/>
                <w:szCs w:val="2"/>
                <w:color w:val="auto"/>
              </w:rPr>
            </w:pPr>
          </w:p>
        </w:tc>
        <w:tc>
          <w:tcPr>
            <w:tcW w:w="6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26"/>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Insider Trading Policies and Procedures</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10</w:t>
            </w:r>
          </w:p>
        </w:tc>
        <w:tc>
          <w:tcPr>
            <w:tcW w:w="280" w:type="dxa"/>
            <w:vAlign w:val="bottom"/>
          </w:tcPr>
          <w:p>
            <w:pPr>
              <w:spacing w:after="0"/>
              <w:rPr>
                <w:sz w:val="10"/>
                <w:szCs w:val="10"/>
                <w:color w:val="auto"/>
              </w:rPr>
            </w:pPr>
          </w:p>
        </w:tc>
      </w:tr>
      <w:tr>
        <w:trPr>
          <w:trHeight w:val="27"/>
        </w:trPr>
        <w:tc>
          <w:tcPr>
            <w:tcW w:w="42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133"/>
        </w:trPr>
        <w:tc>
          <w:tcPr>
            <w:tcW w:w="4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Board Leadership Structure</w:t>
            </w:r>
          </w:p>
        </w:tc>
        <w:tc>
          <w:tcPr>
            <w:tcW w:w="6760" w:type="dxa"/>
            <w:vAlign w:val="bottom"/>
            <w:gridSpan w:val="3"/>
            <w:shd w:val="clear" w:color="auto" w:fill="CCEEFF"/>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10</w:t>
            </w:r>
          </w:p>
        </w:tc>
        <w:tc>
          <w:tcPr>
            <w:tcW w:w="280" w:type="dxa"/>
            <w:vAlign w:val="bottom"/>
            <w:shd w:val="clear" w:color="auto" w:fill="CCEEFF"/>
          </w:tcPr>
          <w:p>
            <w:pPr>
              <w:spacing w:after="0"/>
              <w:rPr>
                <w:sz w:val="11"/>
                <w:szCs w:val="11"/>
                <w:color w:val="auto"/>
              </w:rPr>
            </w:pPr>
          </w:p>
        </w:tc>
      </w:tr>
      <w:tr>
        <w:trPr>
          <w:trHeight w:val="133"/>
        </w:trPr>
        <w:tc>
          <w:tcPr>
            <w:tcW w:w="4260" w:type="dxa"/>
            <w:vAlign w:val="bottom"/>
            <w:tcBorders>
              <w:top w:val="single" w:sz="8" w:color="CCEEFF"/>
            </w:tcBorders>
          </w:tcPr>
          <w:p>
            <w:pPr>
              <w:spacing w:after="0" w:line="126" w:lineRule="exact"/>
              <w:rPr>
                <w:sz w:val="20"/>
                <w:szCs w:val="20"/>
                <w:color w:val="auto"/>
              </w:rPr>
            </w:pPr>
            <w:r>
              <w:rPr>
                <w:rFonts w:ascii="Times New Roman" w:cs="Times New Roman" w:eastAsia="Times New Roman" w:hAnsi="Times New Roman"/>
                <w:sz w:val="12"/>
                <w:szCs w:val="12"/>
                <w:color w:val="auto"/>
              </w:rPr>
              <w:t>The Board and Its Committees</w:t>
            </w:r>
          </w:p>
        </w:tc>
        <w:tc>
          <w:tcPr>
            <w:tcW w:w="6640" w:type="dxa"/>
            <w:vAlign w:val="bottom"/>
            <w:tcBorders>
              <w:top w:val="single" w:sz="8" w:color="CCEEFF"/>
            </w:tcBorders>
            <w:gridSpan w:val="2"/>
          </w:tcPr>
          <w:p>
            <w:pPr>
              <w:spacing w:after="0"/>
              <w:rPr>
                <w:sz w:val="11"/>
                <w:szCs w:val="11"/>
                <w:color w:val="auto"/>
              </w:rPr>
            </w:pPr>
          </w:p>
        </w:tc>
        <w:tc>
          <w:tcPr>
            <w:tcW w:w="120" w:type="dxa"/>
            <w:vAlign w:val="bottom"/>
            <w:tcBorders>
              <w:top w:val="single" w:sz="8" w:color="auto"/>
              <w:bottom w:val="single" w:sz="8" w:color="auto"/>
            </w:tcBorders>
          </w:tcPr>
          <w:p>
            <w:pPr>
              <w:jc w:val="center"/>
              <w:spacing w:after="0" w:line="126" w:lineRule="exact"/>
              <w:rPr>
                <w:sz w:val="20"/>
                <w:szCs w:val="20"/>
                <w:color w:val="auto"/>
              </w:rPr>
            </w:pPr>
            <w:r>
              <w:rPr>
                <w:rFonts w:ascii="Times New Roman" w:cs="Times New Roman" w:eastAsia="Times New Roman" w:hAnsi="Times New Roman"/>
                <w:sz w:val="12"/>
                <w:szCs w:val="12"/>
                <w:color w:val="auto"/>
                <w:w w:val="99"/>
              </w:rPr>
              <w:t>11</w:t>
            </w:r>
          </w:p>
        </w:tc>
        <w:tc>
          <w:tcPr>
            <w:tcW w:w="280" w:type="dxa"/>
            <w:vAlign w:val="bottom"/>
            <w:tcBorders>
              <w:top w:val="single" w:sz="8" w:color="CCEEFF"/>
            </w:tcBorders>
          </w:tcPr>
          <w:p>
            <w:pPr>
              <w:spacing w:after="0"/>
              <w:rPr>
                <w:sz w:val="11"/>
                <w:szCs w:val="11"/>
                <w:color w:val="auto"/>
              </w:rPr>
            </w:pPr>
          </w:p>
        </w:tc>
      </w:tr>
      <w:tr>
        <w:trPr>
          <w:trHeight w:val="153"/>
        </w:trPr>
        <w:tc>
          <w:tcPr>
            <w:tcW w:w="4260" w:type="dxa"/>
            <w:vAlign w:val="bottom"/>
            <w:shd w:val="clear" w:color="auto" w:fill="CCEEFF"/>
          </w:tcPr>
          <w:p>
            <w:pPr>
              <w:spacing w:after="0"/>
              <w:rPr>
                <w:sz w:val="13"/>
                <w:szCs w:val="13"/>
                <w:color w:val="auto"/>
              </w:rPr>
            </w:pPr>
          </w:p>
        </w:tc>
        <w:tc>
          <w:tcPr>
            <w:tcW w:w="6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133"/>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REPORT OF THE AUDIT COMMITTEE</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14</w:t>
            </w:r>
          </w:p>
        </w:tc>
        <w:tc>
          <w:tcPr>
            <w:tcW w:w="280" w:type="dxa"/>
            <w:vAlign w:val="bottom"/>
          </w:tcPr>
          <w:p>
            <w:pPr>
              <w:spacing w:after="0"/>
              <w:rPr>
                <w:sz w:val="11"/>
                <w:szCs w:val="11"/>
                <w:color w:val="auto"/>
              </w:rPr>
            </w:pPr>
          </w:p>
        </w:tc>
      </w:tr>
      <w:tr>
        <w:trPr>
          <w:trHeight w:val="153"/>
        </w:trPr>
        <w:tc>
          <w:tcPr>
            <w:tcW w:w="4260" w:type="dxa"/>
            <w:vAlign w:val="bottom"/>
            <w:shd w:val="clear" w:color="auto" w:fill="CCEEFF"/>
          </w:tcPr>
          <w:p>
            <w:pPr>
              <w:spacing w:after="0"/>
              <w:rPr>
                <w:sz w:val="13"/>
                <w:szCs w:val="13"/>
                <w:color w:val="auto"/>
              </w:rPr>
            </w:pPr>
          </w:p>
        </w:tc>
        <w:tc>
          <w:tcPr>
            <w:tcW w:w="6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133"/>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MANAGEMENT</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15</w:t>
            </w:r>
          </w:p>
        </w:tc>
        <w:tc>
          <w:tcPr>
            <w:tcW w:w="280" w:type="dxa"/>
            <w:vAlign w:val="bottom"/>
          </w:tcPr>
          <w:p>
            <w:pPr>
              <w:spacing w:after="0"/>
              <w:rPr>
                <w:sz w:val="11"/>
                <w:szCs w:val="11"/>
                <w:color w:val="auto"/>
              </w:rPr>
            </w:pPr>
          </w:p>
        </w:tc>
      </w:tr>
      <w:tr>
        <w:trPr>
          <w:trHeight w:val="153"/>
        </w:trPr>
        <w:tc>
          <w:tcPr>
            <w:tcW w:w="4260" w:type="dxa"/>
            <w:vAlign w:val="bottom"/>
            <w:shd w:val="clear" w:color="auto" w:fill="CCEEFF"/>
          </w:tcPr>
          <w:p>
            <w:pPr>
              <w:spacing w:after="0"/>
              <w:rPr>
                <w:sz w:val="13"/>
                <w:szCs w:val="13"/>
                <w:color w:val="auto"/>
              </w:rPr>
            </w:pPr>
          </w:p>
        </w:tc>
        <w:tc>
          <w:tcPr>
            <w:tcW w:w="6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133"/>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EXECUTIVE COMPENSATION</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16</w:t>
            </w:r>
          </w:p>
        </w:tc>
        <w:tc>
          <w:tcPr>
            <w:tcW w:w="280" w:type="dxa"/>
            <w:vAlign w:val="bottom"/>
          </w:tcPr>
          <w:p>
            <w:pPr>
              <w:spacing w:after="0"/>
              <w:rPr>
                <w:sz w:val="11"/>
                <w:szCs w:val="11"/>
                <w:color w:val="auto"/>
              </w:rPr>
            </w:pPr>
          </w:p>
        </w:tc>
      </w:tr>
      <w:tr>
        <w:trPr>
          <w:trHeight w:val="153"/>
        </w:trPr>
        <w:tc>
          <w:tcPr>
            <w:tcW w:w="4260" w:type="dxa"/>
            <w:vAlign w:val="bottom"/>
            <w:shd w:val="clear" w:color="auto" w:fill="CCEEFF"/>
          </w:tcPr>
          <w:p>
            <w:pPr>
              <w:spacing w:after="0"/>
              <w:rPr>
                <w:sz w:val="13"/>
                <w:szCs w:val="13"/>
                <w:color w:val="auto"/>
              </w:rPr>
            </w:pPr>
          </w:p>
        </w:tc>
        <w:tc>
          <w:tcPr>
            <w:tcW w:w="6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133"/>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Compensation Discussion and Analysis</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16</w:t>
            </w:r>
          </w:p>
        </w:tc>
        <w:tc>
          <w:tcPr>
            <w:tcW w:w="280" w:type="dxa"/>
            <w:vAlign w:val="bottom"/>
          </w:tcPr>
          <w:p>
            <w:pPr>
              <w:spacing w:after="0"/>
              <w:rPr>
                <w:sz w:val="11"/>
                <w:szCs w:val="11"/>
                <w:color w:val="auto"/>
              </w:rPr>
            </w:pPr>
          </w:p>
        </w:tc>
      </w:tr>
      <w:tr>
        <w:trPr>
          <w:trHeight w:val="153"/>
        </w:trPr>
        <w:tc>
          <w:tcPr>
            <w:tcW w:w="4260" w:type="dxa"/>
            <w:vAlign w:val="bottom"/>
            <w:shd w:val="clear" w:color="auto" w:fill="CCEEFF"/>
          </w:tcPr>
          <w:p>
            <w:pPr>
              <w:spacing w:after="0"/>
              <w:rPr>
                <w:sz w:val="13"/>
                <w:szCs w:val="13"/>
                <w:color w:val="auto"/>
              </w:rPr>
            </w:pPr>
          </w:p>
        </w:tc>
        <w:tc>
          <w:tcPr>
            <w:tcW w:w="6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133"/>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COMPENSATION COMMITTEE REPORT</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20</w:t>
            </w:r>
          </w:p>
        </w:tc>
        <w:tc>
          <w:tcPr>
            <w:tcW w:w="280" w:type="dxa"/>
            <w:vAlign w:val="bottom"/>
          </w:tcPr>
          <w:p>
            <w:pPr>
              <w:spacing w:after="0"/>
              <w:rPr>
                <w:sz w:val="11"/>
                <w:szCs w:val="11"/>
                <w:color w:val="auto"/>
              </w:rPr>
            </w:pPr>
          </w:p>
        </w:tc>
      </w:tr>
      <w:tr>
        <w:trPr>
          <w:trHeight w:val="153"/>
        </w:trPr>
        <w:tc>
          <w:tcPr>
            <w:tcW w:w="4260" w:type="dxa"/>
            <w:vAlign w:val="bottom"/>
            <w:shd w:val="clear" w:color="auto" w:fill="CCEEFF"/>
          </w:tcPr>
          <w:p>
            <w:pPr>
              <w:spacing w:after="0"/>
              <w:rPr>
                <w:sz w:val="13"/>
                <w:szCs w:val="13"/>
                <w:color w:val="auto"/>
              </w:rPr>
            </w:pPr>
          </w:p>
        </w:tc>
        <w:tc>
          <w:tcPr>
            <w:tcW w:w="6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126"/>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Compensation Committee Interlocks and Insider Participation</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20</w:t>
            </w:r>
          </w:p>
        </w:tc>
        <w:tc>
          <w:tcPr>
            <w:tcW w:w="280" w:type="dxa"/>
            <w:vAlign w:val="bottom"/>
          </w:tcPr>
          <w:p>
            <w:pPr>
              <w:spacing w:after="0"/>
              <w:rPr>
                <w:sz w:val="10"/>
                <w:szCs w:val="10"/>
                <w:color w:val="auto"/>
              </w:rPr>
            </w:pPr>
          </w:p>
        </w:tc>
      </w:tr>
      <w:tr>
        <w:trPr>
          <w:trHeight w:val="27"/>
        </w:trPr>
        <w:tc>
          <w:tcPr>
            <w:tcW w:w="42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126"/>
        </w:trPr>
        <w:tc>
          <w:tcPr>
            <w:tcW w:w="4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Summary Compensation Table for 2024</w:t>
            </w:r>
          </w:p>
        </w:tc>
        <w:tc>
          <w:tcPr>
            <w:tcW w:w="6760" w:type="dxa"/>
            <w:vAlign w:val="bottom"/>
            <w:gridSpan w:val="3"/>
            <w:shd w:val="clear" w:color="auto" w:fill="CCEEFF"/>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20</w:t>
            </w:r>
          </w:p>
        </w:tc>
        <w:tc>
          <w:tcPr>
            <w:tcW w:w="280" w:type="dxa"/>
            <w:vAlign w:val="bottom"/>
            <w:shd w:val="clear" w:color="auto" w:fill="CCEEFF"/>
          </w:tcPr>
          <w:p>
            <w:pPr>
              <w:spacing w:after="0"/>
              <w:rPr>
                <w:sz w:val="10"/>
                <w:szCs w:val="10"/>
                <w:color w:val="auto"/>
              </w:rPr>
            </w:pPr>
          </w:p>
        </w:tc>
      </w:tr>
      <w:tr>
        <w:trPr>
          <w:trHeight w:val="27"/>
        </w:trPr>
        <w:tc>
          <w:tcPr>
            <w:tcW w:w="4260" w:type="dxa"/>
            <w:vAlign w:val="bottom"/>
            <w:shd w:val="clear" w:color="auto" w:fill="CCEEFF"/>
          </w:tcPr>
          <w:p>
            <w:pPr>
              <w:spacing w:after="0"/>
              <w:rPr>
                <w:sz w:val="2"/>
                <w:szCs w:val="2"/>
                <w:color w:val="auto"/>
              </w:rPr>
            </w:pPr>
          </w:p>
        </w:tc>
        <w:tc>
          <w:tcPr>
            <w:tcW w:w="6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26"/>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Grants of Plan-Based Awards for 2024</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21</w:t>
            </w:r>
          </w:p>
        </w:tc>
        <w:tc>
          <w:tcPr>
            <w:tcW w:w="280" w:type="dxa"/>
            <w:vAlign w:val="bottom"/>
          </w:tcPr>
          <w:p>
            <w:pPr>
              <w:spacing w:after="0"/>
              <w:rPr>
                <w:sz w:val="10"/>
                <w:szCs w:val="10"/>
                <w:color w:val="auto"/>
              </w:rPr>
            </w:pPr>
          </w:p>
        </w:tc>
      </w:tr>
      <w:tr>
        <w:trPr>
          <w:trHeight w:val="27"/>
        </w:trPr>
        <w:tc>
          <w:tcPr>
            <w:tcW w:w="42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126"/>
        </w:trPr>
        <w:tc>
          <w:tcPr>
            <w:tcW w:w="4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Outstanding Equity Awards at Fiscal Year-End for 2024</w:t>
            </w:r>
          </w:p>
        </w:tc>
        <w:tc>
          <w:tcPr>
            <w:tcW w:w="6760" w:type="dxa"/>
            <w:vAlign w:val="bottom"/>
            <w:gridSpan w:val="3"/>
            <w:shd w:val="clear" w:color="auto" w:fill="CCEEFF"/>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21</w:t>
            </w:r>
          </w:p>
        </w:tc>
        <w:tc>
          <w:tcPr>
            <w:tcW w:w="280" w:type="dxa"/>
            <w:vAlign w:val="bottom"/>
            <w:shd w:val="clear" w:color="auto" w:fill="CCEEFF"/>
          </w:tcPr>
          <w:p>
            <w:pPr>
              <w:spacing w:after="0"/>
              <w:rPr>
                <w:sz w:val="10"/>
                <w:szCs w:val="10"/>
                <w:color w:val="auto"/>
              </w:rPr>
            </w:pPr>
          </w:p>
        </w:tc>
      </w:tr>
      <w:tr>
        <w:trPr>
          <w:trHeight w:val="27"/>
        </w:trPr>
        <w:tc>
          <w:tcPr>
            <w:tcW w:w="4260" w:type="dxa"/>
            <w:vAlign w:val="bottom"/>
            <w:shd w:val="clear" w:color="auto" w:fill="CCEEFF"/>
          </w:tcPr>
          <w:p>
            <w:pPr>
              <w:spacing w:after="0"/>
              <w:rPr>
                <w:sz w:val="2"/>
                <w:szCs w:val="2"/>
                <w:color w:val="auto"/>
              </w:rPr>
            </w:pPr>
          </w:p>
        </w:tc>
        <w:tc>
          <w:tcPr>
            <w:tcW w:w="6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26"/>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Option Exercises and Stock Vested for 2024</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22</w:t>
            </w:r>
          </w:p>
        </w:tc>
        <w:tc>
          <w:tcPr>
            <w:tcW w:w="280" w:type="dxa"/>
            <w:vAlign w:val="bottom"/>
          </w:tcPr>
          <w:p>
            <w:pPr>
              <w:spacing w:after="0"/>
              <w:rPr>
                <w:sz w:val="10"/>
                <w:szCs w:val="10"/>
                <w:color w:val="auto"/>
              </w:rPr>
            </w:pPr>
          </w:p>
        </w:tc>
      </w:tr>
      <w:tr>
        <w:trPr>
          <w:trHeight w:val="27"/>
        </w:trPr>
        <w:tc>
          <w:tcPr>
            <w:tcW w:w="42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126"/>
        </w:trPr>
        <w:tc>
          <w:tcPr>
            <w:tcW w:w="4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Pension Benefits for 2024</w:t>
            </w:r>
          </w:p>
        </w:tc>
        <w:tc>
          <w:tcPr>
            <w:tcW w:w="6760" w:type="dxa"/>
            <w:vAlign w:val="bottom"/>
            <w:gridSpan w:val="3"/>
            <w:shd w:val="clear" w:color="auto" w:fill="CCEEFF"/>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22</w:t>
            </w:r>
          </w:p>
        </w:tc>
        <w:tc>
          <w:tcPr>
            <w:tcW w:w="280" w:type="dxa"/>
            <w:vAlign w:val="bottom"/>
            <w:shd w:val="clear" w:color="auto" w:fill="CCEEFF"/>
          </w:tcPr>
          <w:p>
            <w:pPr>
              <w:spacing w:after="0"/>
              <w:rPr>
                <w:sz w:val="10"/>
                <w:szCs w:val="10"/>
                <w:color w:val="auto"/>
              </w:rPr>
            </w:pPr>
          </w:p>
        </w:tc>
      </w:tr>
      <w:tr>
        <w:trPr>
          <w:trHeight w:val="27"/>
        </w:trPr>
        <w:tc>
          <w:tcPr>
            <w:tcW w:w="4260" w:type="dxa"/>
            <w:vAlign w:val="bottom"/>
            <w:shd w:val="clear" w:color="auto" w:fill="CCEEFF"/>
          </w:tcPr>
          <w:p>
            <w:pPr>
              <w:spacing w:after="0"/>
              <w:rPr>
                <w:sz w:val="2"/>
                <w:szCs w:val="2"/>
                <w:color w:val="auto"/>
              </w:rPr>
            </w:pPr>
          </w:p>
        </w:tc>
        <w:tc>
          <w:tcPr>
            <w:tcW w:w="6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26"/>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Nonqualified Deferred Compensation for 2024</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22</w:t>
            </w:r>
          </w:p>
        </w:tc>
        <w:tc>
          <w:tcPr>
            <w:tcW w:w="280" w:type="dxa"/>
            <w:vAlign w:val="bottom"/>
          </w:tcPr>
          <w:p>
            <w:pPr>
              <w:spacing w:after="0"/>
              <w:rPr>
                <w:sz w:val="10"/>
                <w:szCs w:val="10"/>
                <w:color w:val="auto"/>
              </w:rPr>
            </w:pPr>
          </w:p>
        </w:tc>
      </w:tr>
      <w:tr>
        <w:trPr>
          <w:trHeight w:val="27"/>
        </w:trPr>
        <w:tc>
          <w:tcPr>
            <w:tcW w:w="42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126"/>
        </w:trPr>
        <w:tc>
          <w:tcPr>
            <w:tcW w:w="4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Potential Payments Upon Change-in-Control or Termination</w:t>
            </w:r>
          </w:p>
        </w:tc>
        <w:tc>
          <w:tcPr>
            <w:tcW w:w="6760" w:type="dxa"/>
            <w:vAlign w:val="bottom"/>
            <w:gridSpan w:val="3"/>
            <w:shd w:val="clear" w:color="auto" w:fill="CCEEFF"/>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22</w:t>
            </w:r>
          </w:p>
        </w:tc>
        <w:tc>
          <w:tcPr>
            <w:tcW w:w="280" w:type="dxa"/>
            <w:vAlign w:val="bottom"/>
            <w:shd w:val="clear" w:color="auto" w:fill="CCEEFF"/>
          </w:tcPr>
          <w:p>
            <w:pPr>
              <w:spacing w:after="0"/>
              <w:rPr>
                <w:sz w:val="10"/>
                <w:szCs w:val="10"/>
                <w:color w:val="auto"/>
              </w:rPr>
            </w:pPr>
          </w:p>
        </w:tc>
      </w:tr>
      <w:tr>
        <w:trPr>
          <w:trHeight w:val="27"/>
        </w:trPr>
        <w:tc>
          <w:tcPr>
            <w:tcW w:w="4260" w:type="dxa"/>
            <w:vAlign w:val="bottom"/>
            <w:shd w:val="clear" w:color="auto" w:fill="CCEEFF"/>
          </w:tcPr>
          <w:p>
            <w:pPr>
              <w:spacing w:after="0"/>
              <w:rPr>
                <w:sz w:val="2"/>
                <w:szCs w:val="2"/>
                <w:color w:val="auto"/>
              </w:rPr>
            </w:pPr>
          </w:p>
        </w:tc>
        <w:tc>
          <w:tcPr>
            <w:tcW w:w="63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26"/>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Pay Ratio Disclosure</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23</w:t>
            </w:r>
          </w:p>
        </w:tc>
        <w:tc>
          <w:tcPr>
            <w:tcW w:w="280" w:type="dxa"/>
            <w:vAlign w:val="bottom"/>
          </w:tcPr>
          <w:p>
            <w:pPr>
              <w:spacing w:after="0"/>
              <w:rPr>
                <w:sz w:val="10"/>
                <w:szCs w:val="10"/>
                <w:color w:val="auto"/>
              </w:rPr>
            </w:pPr>
          </w:p>
        </w:tc>
      </w:tr>
      <w:tr>
        <w:trPr>
          <w:trHeight w:val="27"/>
        </w:trPr>
        <w:tc>
          <w:tcPr>
            <w:tcW w:w="426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126"/>
        </w:trPr>
        <w:tc>
          <w:tcPr>
            <w:tcW w:w="426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Pay Versus Performance</w:t>
            </w:r>
          </w:p>
        </w:tc>
        <w:tc>
          <w:tcPr>
            <w:tcW w:w="6760" w:type="dxa"/>
            <w:vAlign w:val="bottom"/>
            <w:gridSpan w:val="3"/>
            <w:shd w:val="clear" w:color="auto" w:fill="CCEEFF"/>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24</w:t>
            </w:r>
          </w:p>
        </w:tc>
        <w:tc>
          <w:tcPr>
            <w:tcW w:w="280" w:type="dxa"/>
            <w:vAlign w:val="bottom"/>
            <w:shd w:val="clear" w:color="auto" w:fill="CCEEFF"/>
          </w:tcPr>
          <w:p>
            <w:pPr>
              <w:spacing w:after="0"/>
              <w:rPr>
                <w:sz w:val="10"/>
                <w:szCs w:val="10"/>
                <w:color w:val="auto"/>
              </w:rPr>
            </w:pPr>
          </w:p>
        </w:tc>
      </w:tr>
      <w:tr>
        <w:trPr>
          <w:trHeight w:val="178"/>
        </w:trPr>
        <w:tc>
          <w:tcPr>
            <w:tcW w:w="4260" w:type="dxa"/>
            <w:vAlign w:val="bottom"/>
            <w:tcBorders>
              <w:top w:val="single" w:sz="8" w:color="CCEEFF"/>
            </w:tcBorders>
            <w:shd w:val="clear" w:color="auto" w:fill="CCEEFF"/>
          </w:tcPr>
          <w:p>
            <w:pPr>
              <w:spacing w:after="0"/>
              <w:rPr>
                <w:sz w:val="15"/>
                <w:szCs w:val="15"/>
                <w:color w:val="auto"/>
              </w:rPr>
            </w:pPr>
          </w:p>
        </w:tc>
        <w:tc>
          <w:tcPr>
            <w:tcW w:w="63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r>
      <w:tr>
        <w:trPr>
          <w:trHeight w:val="133"/>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DIRECTOR COMPENSATION</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27</w:t>
            </w:r>
          </w:p>
        </w:tc>
        <w:tc>
          <w:tcPr>
            <w:tcW w:w="280" w:type="dxa"/>
            <w:vAlign w:val="bottom"/>
          </w:tcPr>
          <w:p>
            <w:pPr>
              <w:spacing w:after="0"/>
              <w:rPr>
                <w:sz w:val="11"/>
                <w:szCs w:val="11"/>
                <w:color w:val="auto"/>
              </w:rPr>
            </w:pPr>
          </w:p>
        </w:tc>
      </w:tr>
      <w:tr>
        <w:trPr>
          <w:trHeight w:val="153"/>
        </w:trPr>
        <w:tc>
          <w:tcPr>
            <w:tcW w:w="4260" w:type="dxa"/>
            <w:vAlign w:val="bottom"/>
            <w:shd w:val="clear" w:color="auto" w:fill="CCEEFF"/>
          </w:tcPr>
          <w:p>
            <w:pPr>
              <w:spacing w:after="0"/>
              <w:rPr>
                <w:sz w:val="13"/>
                <w:szCs w:val="13"/>
                <w:color w:val="auto"/>
              </w:rPr>
            </w:pPr>
          </w:p>
        </w:tc>
        <w:tc>
          <w:tcPr>
            <w:tcW w:w="6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126"/>
        </w:trPr>
        <w:tc>
          <w:tcPr>
            <w:tcW w:w="426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Director Compensation Table for 2024</w:t>
            </w:r>
          </w:p>
        </w:tc>
        <w:tc>
          <w:tcPr>
            <w:tcW w:w="6760" w:type="dxa"/>
            <w:vAlign w:val="bottom"/>
            <w:gridSpan w:val="3"/>
          </w:tcPr>
          <w:p>
            <w:pPr>
              <w:jc w:val="center"/>
              <w:ind w:left="6580"/>
              <w:spacing w:after="0" w:line="126" w:lineRule="exact"/>
              <w:rPr>
                <w:sz w:val="20"/>
                <w:szCs w:val="20"/>
                <w:color w:val="auto"/>
              </w:rPr>
            </w:pPr>
            <w:r>
              <w:rPr>
                <w:rFonts w:ascii="Times New Roman" w:cs="Times New Roman" w:eastAsia="Times New Roman" w:hAnsi="Times New Roman"/>
                <w:sz w:val="12"/>
                <w:szCs w:val="12"/>
                <w:color w:val="auto"/>
                <w:w w:val="99"/>
              </w:rPr>
              <w:t>27</w:t>
            </w:r>
          </w:p>
        </w:tc>
        <w:tc>
          <w:tcPr>
            <w:tcW w:w="280" w:type="dxa"/>
            <w:vAlign w:val="bottom"/>
          </w:tcPr>
          <w:p>
            <w:pPr>
              <w:spacing w:after="0"/>
              <w:rPr>
                <w:sz w:val="10"/>
                <w:szCs w:val="10"/>
                <w:color w:val="auto"/>
              </w:rPr>
            </w:pPr>
          </w:p>
        </w:tc>
      </w:tr>
      <w:tr>
        <w:trPr>
          <w:trHeight w:val="772"/>
        </w:trPr>
        <w:tc>
          <w:tcPr>
            <w:tcW w:w="4260" w:type="dxa"/>
            <w:vAlign w:val="bottom"/>
            <w:tcBorders>
              <w:bottom w:val="single" w:sz="8" w:color="9A9A9A"/>
            </w:tcBorders>
          </w:tcPr>
          <w:p>
            <w:pPr>
              <w:spacing w:after="0"/>
              <w:rPr>
                <w:sz w:val="24"/>
                <w:szCs w:val="24"/>
                <w:color w:val="auto"/>
              </w:rPr>
            </w:pPr>
          </w:p>
        </w:tc>
        <w:tc>
          <w:tcPr>
            <w:tcW w:w="6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6698615</wp:posOffset>
            </wp:positionH>
            <wp:positionV relativeFrom="paragraph">
              <wp:posOffset>-5080000</wp:posOffset>
            </wp:positionV>
            <wp:extent cx="4572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720" cy="5715"/>
                    </a:xfrm>
                    <a:prstGeom prst="rect">
                      <a:avLst/>
                    </a:prstGeom>
                    <a:noFill/>
                  </pic:spPr>
                </pic:pic>
              </a:graphicData>
            </a:graphic>
          </wp:anchor>
        </w:drawing>
      </w:r>
    </w:p>
    <w:p>
      <w:pPr>
        <w:sectPr>
          <w:pgSz w:w="11900" w:h="16838" w:orient="portrait"/>
          <w:cols w:equalWidth="0" w:num="1">
            <w:col w:w="11300"/>
          </w:cols>
          <w:pgMar w:left="300" w:top="548" w:right="2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53"/>
        </w:trPr>
        <w:tc>
          <w:tcPr>
            <w:tcW w:w="9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133"/>
        </w:trPr>
        <w:tc>
          <w:tcPr>
            <w:tcW w:w="920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EQUITY COMPENSATION PLAN INFORMATION</w:t>
            </w:r>
          </w:p>
        </w:tc>
        <w:tc>
          <w:tcPr>
            <w:tcW w:w="18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28</w:t>
            </w:r>
          </w:p>
        </w:tc>
        <w:tc>
          <w:tcPr>
            <w:tcW w:w="280" w:type="dxa"/>
            <w:vAlign w:val="bottom"/>
          </w:tcPr>
          <w:p>
            <w:pPr>
              <w:spacing w:after="0"/>
              <w:rPr>
                <w:sz w:val="11"/>
                <w:szCs w:val="11"/>
                <w:color w:val="auto"/>
              </w:rPr>
            </w:pPr>
          </w:p>
        </w:tc>
      </w:tr>
      <w:tr>
        <w:trPr>
          <w:trHeight w:val="153"/>
        </w:trPr>
        <w:tc>
          <w:tcPr>
            <w:tcW w:w="9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133"/>
        </w:trPr>
        <w:tc>
          <w:tcPr>
            <w:tcW w:w="920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SECURITY OWNERSHIP OF MANAGEMENT AND CERTAIN BENEFICIAL OWNERS</w:t>
            </w:r>
          </w:p>
        </w:tc>
        <w:tc>
          <w:tcPr>
            <w:tcW w:w="18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29</w:t>
            </w:r>
          </w:p>
        </w:tc>
        <w:tc>
          <w:tcPr>
            <w:tcW w:w="280" w:type="dxa"/>
            <w:vAlign w:val="bottom"/>
          </w:tcPr>
          <w:p>
            <w:pPr>
              <w:spacing w:after="0"/>
              <w:rPr>
                <w:sz w:val="11"/>
                <w:szCs w:val="11"/>
                <w:color w:val="auto"/>
              </w:rPr>
            </w:pPr>
          </w:p>
        </w:tc>
      </w:tr>
      <w:tr>
        <w:trPr>
          <w:trHeight w:val="153"/>
        </w:trPr>
        <w:tc>
          <w:tcPr>
            <w:tcW w:w="9200" w:type="dxa"/>
            <w:vAlign w:val="bottom"/>
            <w:shd w:val="clear" w:color="auto" w:fill="CCEEFF"/>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133"/>
        </w:trPr>
        <w:tc>
          <w:tcPr>
            <w:tcW w:w="920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Security Ownership of Certain Beneficial Owners and Management and Related Stockholder Matters</w:t>
            </w:r>
          </w:p>
        </w:tc>
        <w:tc>
          <w:tcPr>
            <w:tcW w:w="18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29</w:t>
            </w:r>
          </w:p>
        </w:tc>
        <w:tc>
          <w:tcPr>
            <w:tcW w:w="280" w:type="dxa"/>
            <w:vAlign w:val="bottom"/>
          </w:tcPr>
          <w:p>
            <w:pPr>
              <w:spacing w:after="0"/>
              <w:rPr>
                <w:sz w:val="11"/>
                <w:szCs w:val="11"/>
                <w:color w:val="auto"/>
              </w:rPr>
            </w:pPr>
          </w:p>
        </w:tc>
      </w:tr>
      <w:tr>
        <w:trPr>
          <w:trHeight w:val="180"/>
        </w:trPr>
        <w:tc>
          <w:tcPr>
            <w:tcW w:w="9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153"/>
        </w:trPr>
        <w:tc>
          <w:tcPr>
            <w:tcW w:w="9200" w:type="dxa"/>
            <w:vAlign w:val="bottom"/>
          </w:tcPr>
          <w:p>
            <w:pPr>
              <w:spacing w:after="0"/>
              <w:rPr>
                <w:sz w:val="20"/>
                <w:szCs w:val="20"/>
                <w:color w:val="auto"/>
              </w:rPr>
            </w:pPr>
            <w:r>
              <w:rPr>
                <w:rFonts w:ascii="Times New Roman" w:cs="Times New Roman" w:eastAsia="Times New Roman" w:hAnsi="Times New Roman"/>
                <w:sz w:val="12"/>
                <w:szCs w:val="12"/>
                <w:color w:val="auto"/>
              </w:rPr>
              <w:t>Delinquent Section 16(a) Reports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80" w:type="dxa"/>
            <w:vAlign w:val="bottom"/>
          </w:tcPr>
          <w:p>
            <w:pPr>
              <w:spacing w:after="0"/>
              <w:rPr>
                <w:sz w:val="13"/>
                <w:szCs w:val="13"/>
                <w:color w:val="auto"/>
              </w:rPr>
            </w:pPr>
          </w:p>
        </w:tc>
      </w:tr>
      <w:tr>
        <w:trPr>
          <w:trHeight w:val="180"/>
        </w:trPr>
        <w:tc>
          <w:tcPr>
            <w:tcW w:w="9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133"/>
        </w:trPr>
        <w:tc>
          <w:tcPr>
            <w:tcW w:w="920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CERTAIN RELATIONSHIPS AND RELATED TRANSACTIONS</w:t>
            </w:r>
          </w:p>
        </w:tc>
        <w:tc>
          <w:tcPr>
            <w:tcW w:w="18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31</w:t>
            </w:r>
          </w:p>
        </w:tc>
        <w:tc>
          <w:tcPr>
            <w:tcW w:w="280" w:type="dxa"/>
            <w:vAlign w:val="bottom"/>
          </w:tcPr>
          <w:p>
            <w:pPr>
              <w:spacing w:after="0"/>
              <w:rPr>
                <w:sz w:val="11"/>
                <w:szCs w:val="11"/>
                <w:color w:val="auto"/>
              </w:rPr>
            </w:pPr>
          </w:p>
        </w:tc>
      </w:tr>
      <w:tr>
        <w:trPr>
          <w:trHeight w:val="180"/>
        </w:trPr>
        <w:tc>
          <w:tcPr>
            <w:tcW w:w="9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126"/>
        </w:trPr>
        <w:tc>
          <w:tcPr>
            <w:tcW w:w="920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Procedures for Review, Approval and Ratification of Transactions with Related Persons</w:t>
            </w:r>
          </w:p>
        </w:tc>
        <w:tc>
          <w:tcPr>
            <w:tcW w:w="18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31</w:t>
            </w:r>
          </w:p>
        </w:tc>
        <w:tc>
          <w:tcPr>
            <w:tcW w:w="280" w:type="dxa"/>
            <w:vAlign w:val="bottom"/>
          </w:tcPr>
          <w:p>
            <w:pPr>
              <w:spacing w:after="0"/>
              <w:rPr>
                <w:sz w:val="10"/>
                <w:szCs w:val="10"/>
                <w:color w:val="auto"/>
              </w:rPr>
            </w:pPr>
          </w:p>
        </w:tc>
      </w:tr>
      <w:tr>
        <w:trPr>
          <w:trHeight w:val="27"/>
        </w:trPr>
        <w:tc>
          <w:tcPr>
            <w:tcW w:w="9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126"/>
        </w:trPr>
        <w:tc>
          <w:tcPr>
            <w:tcW w:w="9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Certain Relationships and Related Transactions</w:t>
            </w:r>
          </w:p>
        </w:tc>
        <w:tc>
          <w:tcPr>
            <w:tcW w:w="182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31</w:t>
            </w:r>
          </w:p>
        </w:tc>
        <w:tc>
          <w:tcPr>
            <w:tcW w:w="280" w:type="dxa"/>
            <w:vAlign w:val="bottom"/>
            <w:shd w:val="clear" w:color="auto" w:fill="CCEEFF"/>
          </w:tcPr>
          <w:p>
            <w:pPr>
              <w:spacing w:after="0"/>
              <w:rPr>
                <w:sz w:val="10"/>
                <w:szCs w:val="10"/>
                <w:color w:val="auto"/>
              </w:rPr>
            </w:pPr>
          </w:p>
        </w:tc>
      </w:tr>
      <w:tr>
        <w:trPr>
          <w:trHeight w:val="27"/>
        </w:trPr>
        <w:tc>
          <w:tcPr>
            <w:tcW w:w="92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26"/>
        </w:trPr>
        <w:tc>
          <w:tcPr>
            <w:tcW w:w="920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Agreements with Affiliates</w:t>
            </w:r>
          </w:p>
        </w:tc>
        <w:tc>
          <w:tcPr>
            <w:tcW w:w="18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31</w:t>
            </w:r>
          </w:p>
        </w:tc>
        <w:tc>
          <w:tcPr>
            <w:tcW w:w="280" w:type="dxa"/>
            <w:vAlign w:val="bottom"/>
          </w:tcPr>
          <w:p>
            <w:pPr>
              <w:spacing w:after="0"/>
              <w:rPr>
                <w:sz w:val="10"/>
                <w:szCs w:val="10"/>
                <w:color w:val="auto"/>
              </w:rPr>
            </w:pPr>
          </w:p>
        </w:tc>
      </w:tr>
      <w:tr>
        <w:trPr>
          <w:trHeight w:val="27"/>
        </w:trPr>
        <w:tc>
          <w:tcPr>
            <w:tcW w:w="9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r>
      <w:tr>
        <w:trPr>
          <w:trHeight w:val="133"/>
        </w:trPr>
        <w:tc>
          <w:tcPr>
            <w:tcW w:w="9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Other Transactions with Related Persons</w:t>
            </w:r>
          </w:p>
        </w:tc>
        <w:tc>
          <w:tcPr>
            <w:tcW w:w="182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33</w:t>
            </w:r>
          </w:p>
        </w:tc>
        <w:tc>
          <w:tcPr>
            <w:tcW w:w="280" w:type="dxa"/>
            <w:vAlign w:val="bottom"/>
            <w:shd w:val="clear" w:color="auto" w:fill="CCEEFF"/>
          </w:tcPr>
          <w:p>
            <w:pPr>
              <w:spacing w:after="0"/>
              <w:rPr>
                <w:sz w:val="11"/>
                <w:szCs w:val="11"/>
                <w:color w:val="auto"/>
              </w:rPr>
            </w:pPr>
          </w:p>
        </w:tc>
      </w:tr>
      <w:tr>
        <w:trPr>
          <w:trHeight w:val="180"/>
        </w:trPr>
        <w:tc>
          <w:tcPr>
            <w:tcW w:w="9200" w:type="dxa"/>
            <w:vAlign w:val="bottom"/>
            <w:tcBorders>
              <w:top w:val="single" w:sz="8" w:color="CCEEFF"/>
            </w:tcBorders>
          </w:tcPr>
          <w:p>
            <w:pPr>
              <w:spacing w:after="0"/>
              <w:rPr>
                <w:sz w:val="15"/>
                <w:szCs w:val="15"/>
                <w:color w:val="auto"/>
              </w:rPr>
            </w:pPr>
          </w:p>
        </w:tc>
        <w:tc>
          <w:tcPr>
            <w:tcW w:w="17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r>
      <w:tr>
        <w:trPr>
          <w:trHeight w:val="192"/>
        </w:trPr>
        <w:tc>
          <w:tcPr>
            <w:tcW w:w="9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PROPOSAL NO. 2 APPROVAL OF APPOINTMENT OF ERNST &amp; YOUNG LLP AS INDEPENDENT REGISTERED PUBLIC ACCOUNTING FIRM</w:t>
            </w:r>
          </w:p>
        </w:tc>
        <w:tc>
          <w:tcPr>
            <w:tcW w:w="1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2"/>
              </w:rPr>
              <w:t>35</w:t>
            </w:r>
          </w:p>
        </w:tc>
        <w:tc>
          <w:tcPr>
            <w:tcW w:w="280" w:type="dxa"/>
            <w:vAlign w:val="bottom"/>
            <w:tcBorders>
              <w:bottom w:val="single" w:sz="8" w:color="CCEEFF"/>
            </w:tcBorders>
            <w:shd w:val="clear" w:color="auto" w:fill="CCEEFF"/>
          </w:tcPr>
          <w:p>
            <w:pPr>
              <w:spacing w:after="0"/>
              <w:rPr>
                <w:sz w:val="16"/>
                <w:szCs w:val="16"/>
                <w:color w:val="auto"/>
              </w:rPr>
            </w:pPr>
          </w:p>
        </w:tc>
      </w:tr>
      <w:tr>
        <w:trPr>
          <w:trHeight w:val="180"/>
        </w:trPr>
        <w:tc>
          <w:tcPr>
            <w:tcW w:w="9200" w:type="dxa"/>
            <w:vAlign w:val="bottom"/>
            <w:tcBorders>
              <w:top w:val="single" w:sz="8" w:color="CCEEFF"/>
            </w:tcBorders>
          </w:tcPr>
          <w:p>
            <w:pPr>
              <w:spacing w:after="0"/>
              <w:rPr>
                <w:sz w:val="15"/>
                <w:szCs w:val="15"/>
                <w:color w:val="auto"/>
              </w:rPr>
            </w:pPr>
          </w:p>
        </w:tc>
        <w:tc>
          <w:tcPr>
            <w:tcW w:w="17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r>
      <w:tr>
        <w:trPr>
          <w:trHeight w:val="126"/>
        </w:trPr>
        <w:tc>
          <w:tcPr>
            <w:tcW w:w="9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Proposed Independent Registered Public Accounting Firm</w:t>
            </w:r>
          </w:p>
        </w:tc>
        <w:tc>
          <w:tcPr>
            <w:tcW w:w="182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35</w:t>
            </w:r>
          </w:p>
        </w:tc>
        <w:tc>
          <w:tcPr>
            <w:tcW w:w="280" w:type="dxa"/>
            <w:vAlign w:val="bottom"/>
            <w:shd w:val="clear" w:color="auto" w:fill="CCEEFF"/>
          </w:tcPr>
          <w:p>
            <w:pPr>
              <w:spacing w:after="0"/>
              <w:rPr>
                <w:sz w:val="10"/>
                <w:szCs w:val="10"/>
                <w:color w:val="auto"/>
              </w:rPr>
            </w:pPr>
          </w:p>
        </w:tc>
      </w:tr>
      <w:tr>
        <w:trPr>
          <w:trHeight w:val="27"/>
        </w:trPr>
        <w:tc>
          <w:tcPr>
            <w:tcW w:w="92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r>
      <w:tr>
        <w:trPr>
          <w:trHeight w:val="133"/>
        </w:trPr>
        <w:tc>
          <w:tcPr>
            <w:tcW w:w="9200" w:type="dxa"/>
            <w:vAlign w:val="bottom"/>
          </w:tcPr>
          <w:p>
            <w:pPr>
              <w:spacing w:after="0" w:line="126" w:lineRule="exact"/>
              <w:rPr>
                <w:sz w:val="20"/>
                <w:szCs w:val="20"/>
                <w:color w:val="auto"/>
              </w:rPr>
            </w:pPr>
            <w:r>
              <w:rPr>
                <w:rFonts w:ascii="Times New Roman" w:cs="Times New Roman" w:eastAsia="Times New Roman" w:hAnsi="Times New Roman"/>
                <w:sz w:val="12"/>
                <w:szCs w:val="12"/>
                <w:color w:val="auto"/>
              </w:rPr>
              <w:t>Principal Accountant Fees and Services</w:t>
            </w:r>
          </w:p>
        </w:tc>
        <w:tc>
          <w:tcPr>
            <w:tcW w:w="18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2"/>
                <w:szCs w:val="12"/>
                <w:color w:val="auto"/>
              </w:rPr>
              <w:t>35</w:t>
            </w:r>
          </w:p>
        </w:tc>
        <w:tc>
          <w:tcPr>
            <w:tcW w:w="280" w:type="dxa"/>
            <w:vAlign w:val="bottom"/>
          </w:tcPr>
          <w:p>
            <w:pPr>
              <w:spacing w:after="0"/>
              <w:rPr>
                <w:sz w:val="11"/>
                <w:szCs w:val="11"/>
                <w:color w:val="auto"/>
              </w:rPr>
            </w:pPr>
          </w:p>
        </w:tc>
      </w:tr>
      <w:tr>
        <w:trPr>
          <w:trHeight w:val="180"/>
        </w:trPr>
        <w:tc>
          <w:tcPr>
            <w:tcW w:w="9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r>
      <w:tr>
        <w:trPr>
          <w:trHeight w:val="180"/>
        </w:trPr>
        <w:tc>
          <w:tcPr>
            <w:tcW w:w="9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192"/>
        </w:trPr>
        <w:tc>
          <w:tcPr>
            <w:tcW w:w="9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ADVANCE NOTICE FOR STOCKHOLDER NOMINATIONS AND PROPOSALS FOR 2026 ANNUAL MEETING.</w:t>
            </w:r>
          </w:p>
        </w:tc>
        <w:tc>
          <w:tcPr>
            <w:tcW w:w="1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w w:val="82"/>
              </w:rPr>
              <w:t>36</w:t>
            </w:r>
          </w:p>
        </w:tc>
        <w:tc>
          <w:tcPr>
            <w:tcW w:w="280" w:type="dxa"/>
            <w:vAlign w:val="bottom"/>
            <w:tcBorders>
              <w:bottom w:val="single" w:sz="8" w:color="CCEEFF"/>
            </w:tcBorders>
            <w:shd w:val="clear" w:color="auto" w:fill="CCEEFF"/>
          </w:tcPr>
          <w:p>
            <w:pPr>
              <w:spacing w:after="0"/>
              <w:rPr>
                <w:sz w:val="16"/>
                <w:szCs w:val="16"/>
                <w:color w:val="auto"/>
              </w:rPr>
            </w:pPr>
          </w:p>
        </w:tc>
      </w:tr>
      <w:tr>
        <w:trPr>
          <w:trHeight w:val="180"/>
        </w:trPr>
        <w:tc>
          <w:tcPr>
            <w:tcW w:w="9200" w:type="dxa"/>
            <w:vAlign w:val="bottom"/>
            <w:tcBorders>
              <w:top w:val="single" w:sz="8" w:color="CCEEFF"/>
            </w:tcBorders>
          </w:tcPr>
          <w:p>
            <w:pPr>
              <w:spacing w:after="0"/>
              <w:rPr>
                <w:sz w:val="15"/>
                <w:szCs w:val="15"/>
                <w:color w:val="auto"/>
              </w:rPr>
            </w:pPr>
          </w:p>
        </w:tc>
        <w:tc>
          <w:tcPr>
            <w:tcW w:w="17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r>
      <w:tr>
        <w:trPr>
          <w:trHeight w:val="133"/>
        </w:trPr>
        <w:tc>
          <w:tcPr>
            <w:tcW w:w="9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OTHER MATTERS</w:t>
            </w:r>
          </w:p>
        </w:tc>
        <w:tc>
          <w:tcPr>
            <w:tcW w:w="182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36</w:t>
            </w:r>
          </w:p>
        </w:tc>
        <w:tc>
          <w:tcPr>
            <w:tcW w:w="280" w:type="dxa"/>
            <w:vAlign w:val="bottom"/>
            <w:shd w:val="clear" w:color="auto" w:fill="CCEEFF"/>
          </w:tcPr>
          <w:p>
            <w:pPr>
              <w:spacing w:after="0"/>
              <w:rPr>
                <w:sz w:val="11"/>
                <w:szCs w:val="11"/>
                <w:color w:val="auto"/>
              </w:rPr>
            </w:pPr>
          </w:p>
        </w:tc>
      </w:tr>
      <w:tr>
        <w:trPr>
          <w:trHeight w:val="180"/>
        </w:trPr>
        <w:tc>
          <w:tcPr>
            <w:tcW w:w="9200" w:type="dxa"/>
            <w:vAlign w:val="bottom"/>
            <w:tcBorders>
              <w:top w:val="single" w:sz="8" w:color="CCEEFF"/>
            </w:tcBorders>
          </w:tcPr>
          <w:p>
            <w:pPr>
              <w:spacing w:after="0"/>
              <w:rPr>
                <w:sz w:val="15"/>
                <w:szCs w:val="15"/>
                <w:color w:val="auto"/>
              </w:rPr>
            </w:pPr>
          </w:p>
        </w:tc>
        <w:tc>
          <w:tcPr>
            <w:tcW w:w="17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r>
      <w:tr>
        <w:trPr>
          <w:trHeight w:val="133"/>
        </w:trPr>
        <w:tc>
          <w:tcPr>
            <w:tcW w:w="92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2"/>
                <w:szCs w:val="12"/>
                <w:color w:val="auto"/>
              </w:rPr>
              <w:t>ADDITIONAL INFORMATION</w:t>
            </w:r>
          </w:p>
        </w:tc>
        <w:tc>
          <w:tcPr>
            <w:tcW w:w="182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2"/>
                <w:szCs w:val="12"/>
                <w:color w:val="auto"/>
              </w:rPr>
              <w:t>37</w:t>
            </w:r>
          </w:p>
        </w:tc>
        <w:tc>
          <w:tcPr>
            <w:tcW w:w="280" w:type="dxa"/>
            <w:vAlign w:val="bottom"/>
            <w:shd w:val="clear" w:color="auto" w:fill="CCEEFF"/>
          </w:tcPr>
          <w:p>
            <w:pPr>
              <w:spacing w:after="0"/>
              <w:rPr>
                <w:sz w:val="11"/>
                <w:szCs w:val="11"/>
                <w:color w:val="auto"/>
              </w:rPr>
            </w:pPr>
          </w:p>
        </w:tc>
      </w:tr>
      <w:tr>
        <w:trPr>
          <w:trHeight w:val="756"/>
        </w:trPr>
        <w:tc>
          <w:tcPr>
            <w:tcW w:w="9200" w:type="dxa"/>
            <w:vAlign w:val="bottom"/>
            <w:tcBorders>
              <w:top w:val="single" w:sz="8" w:color="CCEEFF"/>
              <w:bottom w:val="single" w:sz="8" w:color="9A9A9A"/>
            </w:tcBorders>
          </w:tcPr>
          <w:p>
            <w:pPr>
              <w:spacing w:after="0"/>
              <w:rPr>
                <w:sz w:val="24"/>
                <w:szCs w:val="24"/>
                <w:color w:val="auto"/>
              </w:rPr>
            </w:pPr>
          </w:p>
        </w:tc>
        <w:tc>
          <w:tcPr>
            <w:tcW w:w="170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auto"/>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590" w:right="2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2"/>
          <w:szCs w:val="12"/>
          <w:b w:val="1"/>
          <w:bCs w:val="1"/>
          <w:color w:val="auto"/>
        </w:rPr>
        <w:t>NEW FORTRESS ENERGY INC.</w:t>
      </w:r>
    </w:p>
    <w:p>
      <w:pPr>
        <w:jc w:val="center"/>
        <w:spacing w:after="0" w:line="187" w:lineRule="auto"/>
        <w:rPr>
          <w:sz w:val="20"/>
          <w:szCs w:val="20"/>
          <w:color w:val="auto"/>
        </w:rPr>
      </w:pPr>
      <w:r>
        <w:rPr>
          <w:rFonts w:ascii="Times New Roman" w:cs="Times New Roman" w:eastAsia="Times New Roman" w:hAnsi="Times New Roman"/>
          <w:sz w:val="11"/>
          <w:szCs w:val="11"/>
          <w:b w:val="1"/>
          <w:bCs w:val="1"/>
          <w:color w:val="auto"/>
        </w:rPr>
        <w:t>111 W. 19</w:t>
      </w:r>
      <w:r>
        <w:rPr>
          <w:rFonts w:ascii="Times New Roman" w:cs="Times New Roman" w:eastAsia="Times New Roman" w:hAnsi="Times New Roman"/>
          <w:sz w:val="14"/>
          <w:szCs w:val="14"/>
          <w:b w:val="1"/>
          <w:bCs w:val="1"/>
          <w:color w:val="auto"/>
          <w:vertAlign w:val="superscript"/>
        </w:rPr>
        <w:t>th</w:t>
      </w:r>
      <w:r>
        <w:rPr>
          <w:rFonts w:ascii="Times New Roman" w:cs="Times New Roman" w:eastAsia="Times New Roman" w:hAnsi="Times New Roman"/>
          <w:sz w:val="11"/>
          <w:szCs w:val="11"/>
          <w:b w:val="1"/>
          <w:bCs w:val="1"/>
          <w:color w:val="auto"/>
        </w:rPr>
        <w:t xml:space="preserve"> Street, 8</w:t>
      </w:r>
      <w:r>
        <w:rPr>
          <w:rFonts w:ascii="Times New Roman" w:cs="Times New Roman" w:eastAsia="Times New Roman" w:hAnsi="Times New Roman"/>
          <w:sz w:val="14"/>
          <w:szCs w:val="14"/>
          <w:b w:val="1"/>
          <w:bCs w:val="1"/>
          <w:color w:val="auto"/>
          <w:vertAlign w:val="superscript"/>
        </w:rPr>
        <w:t>th</w:t>
      </w:r>
      <w:r>
        <w:rPr>
          <w:rFonts w:ascii="Times New Roman" w:cs="Times New Roman" w:eastAsia="Times New Roman" w:hAnsi="Times New Roman"/>
          <w:sz w:val="11"/>
          <w:szCs w:val="11"/>
          <w:b w:val="1"/>
          <w:bCs w:val="1"/>
          <w:color w:val="auto"/>
        </w:rPr>
        <w:t xml:space="preserve"> Floor</w:t>
      </w:r>
    </w:p>
    <w:p>
      <w:pPr>
        <w:jc w:val="center"/>
        <w:spacing w:after="0" w:line="204" w:lineRule="auto"/>
        <w:rPr>
          <w:sz w:val="20"/>
          <w:szCs w:val="20"/>
          <w:color w:val="auto"/>
        </w:rPr>
      </w:pPr>
      <w:r>
        <w:rPr>
          <w:rFonts w:ascii="Times New Roman" w:cs="Times New Roman" w:eastAsia="Times New Roman" w:hAnsi="Times New Roman"/>
          <w:sz w:val="12"/>
          <w:szCs w:val="12"/>
          <w:b w:val="1"/>
          <w:bCs w:val="1"/>
          <w:color w:val="auto"/>
        </w:rPr>
        <w:t>New York, New York 10011</w:t>
      </w:r>
    </w:p>
    <w:p>
      <w:pPr>
        <w:jc w:val="center"/>
        <w:spacing w:after="0" w:line="203" w:lineRule="auto"/>
        <w:rPr>
          <w:sz w:val="20"/>
          <w:szCs w:val="20"/>
          <w:color w:val="auto"/>
        </w:rPr>
      </w:pPr>
      <w:r>
        <w:rPr>
          <w:rFonts w:ascii="Times New Roman" w:cs="Times New Roman" w:eastAsia="Times New Roman" w:hAnsi="Times New Roman"/>
          <w:sz w:val="12"/>
          <w:szCs w:val="12"/>
          <w:b w:val="1"/>
          <w:bCs w:val="1"/>
          <w:color w:val="auto"/>
        </w:rPr>
        <w:t>PROXY STATEMENT</w:t>
      </w:r>
    </w:p>
    <w:p>
      <w:pPr>
        <w:jc w:val="center"/>
        <w:spacing w:after="0" w:line="220" w:lineRule="auto"/>
        <w:rPr>
          <w:sz w:val="20"/>
          <w:szCs w:val="20"/>
          <w:color w:val="auto"/>
        </w:rPr>
      </w:pPr>
      <w:r>
        <w:rPr>
          <w:rFonts w:ascii="Times New Roman" w:cs="Times New Roman" w:eastAsia="Times New Roman" w:hAnsi="Times New Roman"/>
          <w:sz w:val="12"/>
          <w:szCs w:val="12"/>
          <w:b w:val="1"/>
          <w:bCs w:val="1"/>
          <w:color w:val="auto"/>
        </w:rPr>
        <w:t>For the 2025 Annual Meeting of Stockholders to Be Held on</w:t>
      </w:r>
    </w:p>
    <w:p>
      <w:pPr>
        <w:jc w:val="center"/>
        <w:spacing w:after="0"/>
        <w:rPr>
          <w:sz w:val="20"/>
          <w:szCs w:val="20"/>
          <w:color w:val="auto"/>
        </w:rPr>
      </w:pPr>
      <w:r>
        <w:rPr>
          <w:rFonts w:ascii="Times New Roman" w:cs="Times New Roman" w:eastAsia="Times New Roman" w:hAnsi="Times New Roman"/>
          <w:sz w:val="12"/>
          <w:szCs w:val="12"/>
          <w:b w:val="1"/>
          <w:bCs w:val="1"/>
          <w:color w:val="auto"/>
        </w:rPr>
        <w:t>June 18, 2025</w:t>
      </w:r>
    </w:p>
    <w:p>
      <w:pPr>
        <w:spacing w:after="0" w:line="282" w:lineRule="exact"/>
        <w:rPr>
          <w:sz w:val="20"/>
          <w:szCs w:val="20"/>
          <w:color w:val="auto"/>
        </w:rPr>
      </w:pPr>
    </w:p>
    <w:p>
      <w:pPr>
        <w:ind w:right="20" w:firstLine="216"/>
        <w:spacing w:after="0" w:line="242" w:lineRule="auto"/>
        <w:rPr>
          <w:sz w:val="20"/>
          <w:szCs w:val="20"/>
          <w:color w:val="auto"/>
        </w:rPr>
      </w:pPr>
      <w:r>
        <w:rPr>
          <w:rFonts w:ascii="Times New Roman" w:cs="Times New Roman" w:eastAsia="Times New Roman" w:hAnsi="Times New Roman"/>
          <w:sz w:val="12"/>
          <w:szCs w:val="12"/>
          <w:color w:val="auto"/>
        </w:rPr>
        <w:t>This Proxy Statement and the accompanying proxy card and notice of annual meeting are provided in connection with the solicitation of proxies by and on behalf of the board of directors of New Fortress Energy Inc. (the “Board of Directors” or "Board"), a Delaware corporation, for use at the Annual Meeting to be held on June 18, 2025 and any adjournments or postponements thereof. “We,” “our,” “us,” “the Company” and “NFE” each refers to New Fortress Energy Inc. The mailing address of our executive office is 111 W. 19</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Street, 8</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Floor, New York, New York 10011. Our proxy materials, including this Proxy Statement, the accompanying proxy card and the notice of annual meeting, or the Notice of Internet Availability of Proxy Materials (the “Internet Notice”), if applicable, are first being mailed to holders of Class A common stock, $0.01 par value per share, of the Company (“Common Stock”), on or about April 29, 2025.</w:t>
      </w:r>
    </w:p>
    <w:p>
      <w:pPr>
        <w:spacing w:after="0" w:line="134" w:lineRule="exact"/>
        <w:rPr>
          <w:sz w:val="20"/>
          <w:szCs w:val="20"/>
          <w:color w:val="auto"/>
        </w:rPr>
      </w:pPr>
    </w:p>
    <w:p>
      <w:pPr>
        <w:jc w:val="both"/>
        <w:ind w:firstLine="216"/>
        <w:spacing w:after="0" w:line="265" w:lineRule="auto"/>
        <w:rPr>
          <w:sz w:val="20"/>
          <w:szCs w:val="20"/>
          <w:color w:val="auto"/>
        </w:rPr>
      </w:pPr>
      <w:r>
        <w:rPr>
          <w:rFonts w:ascii="Times New Roman" w:cs="Times New Roman" w:eastAsia="Times New Roman" w:hAnsi="Times New Roman"/>
          <w:sz w:val="12"/>
          <w:szCs w:val="12"/>
          <w:color w:val="auto"/>
        </w:rPr>
        <w:t>As of the date hereof, management has no knowledge of any business that will be presented for consideration at the Annual Meeting and which would be required to be set forth in this Proxy Statement or the related proxy materials other than the matters set forth in the Notice of Annual Meeting of Stockholders. If any other matter is properly presented at the Annual Meeting for consideration, it is intended that the persons named in the enclosed form of proxy and acting thereunder will vote in accordance with their best judgment on such matter.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Matters to be considered at the Annual Meeting</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At the Annual Meeting, the stockholders of the Company will vote upon:</w:t>
      </w:r>
    </w:p>
    <w:p>
      <w:pPr>
        <w:spacing w:after="0" w:line="177" w:lineRule="exact"/>
        <w:rPr>
          <w:sz w:val="20"/>
          <w:szCs w:val="20"/>
          <w:color w:val="auto"/>
        </w:rPr>
      </w:pPr>
    </w:p>
    <w:p>
      <w:pPr>
        <w:ind w:left="660" w:hanging="416"/>
        <w:spacing w:after="0"/>
        <w:tabs>
          <w:tab w:leader="none" w:pos="66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proposal to elect three Class III directors to serve until the 2028 annual meeting of stockholders and until their successors are duly elected or appointed and qualified;</w:t>
      </w:r>
    </w:p>
    <w:p>
      <w:pPr>
        <w:spacing w:after="0" w:line="96" w:lineRule="exact"/>
        <w:rPr>
          <w:rFonts w:ascii="Times New Roman" w:cs="Times New Roman" w:eastAsia="Times New Roman" w:hAnsi="Times New Roman"/>
          <w:sz w:val="12"/>
          <w:szCs w:val="12"/>
          <w:color w:val="auto"/>
        </w:rPr>
      </w:pPr>
    </w:p>
    <w:p>
      <w:pPr>
        <w:ind w:left="660" w:hanging="416"/>
        <w:spacing w:after="0"/>
        <w:tabs>
          <w:tab w:leader="none" w:pos="66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proposal to approve the appointment of Ernst &amp; Young LLP as independent registered public accounting firm for the Company for fiscal year 2025; and</w:t>
      </w:r>
    </w:p>
    <w:p>
      <w:pPr>
        <w:spacing w:after="0" w:line="87" w:lineRule="exact"/>
        <w:rPr>
          <w:rFonts w:ascii="Times New Roman" w:cs="Times New Roman" w:eastAsia="Times New Roman" w:hAnsi="Times New Roman"/>
          <w:sz w:val="12"/>
          <w:szCs w:val="12"/>
          <w:color w:val="auto"/>
        </w:rPr>
      </w:pPr>
    </w:p>
    <w:p>
      <w:pPr>
        <w:ind w:left="660" w:hanging="416"/>
        <w:spacing w:after="0"/>
        <w:tabs>
          <w:tab w:leader="none" w:pos="66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business that may properly come before the annual meeting of stockholders and any adjournment of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543" w:right="31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2"/>
          <w:szCs w:val="12"/>
          <w:b w:val="1"/>
          <w:bCs w:val="1"/>
          <w:color w:val="auto"/>
        </w:rPr>
        <w:t>GENERAL INFORMATION ABOUT VOTING</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Solicitation of Proxies</w:t>
      </w:r>
    </w:p>
    <w:p>
      <w:pPr>
        <w:spacing w:after="0" w:line="154" w:lineRule="exact"/>
        <w:rPr>
          <w:sz w:val="20"/>
          <w:szCs w:val="20"/>
          <w:color w:val="auto"/>
        </w:rPr>
      </w:pPr>
    </w:p>
    <w:p>
      <w:pPr>
        <w:ind w:right="60" w:firstLine="216"/>
        <w:spacing w:after="0" w:line="265" w:lineRule="auto"/>
        <w:rPr>
          <w:sz w:val="20"/>
          <w:szCs w:val="20"/>
          <w:color w:val="auto"/>
        </w:rPr>
      </w:pPr>
      <w:r>
        <w:rPr>
          <w:rFonts w:ascii="Times New Roman" w:cs="Times New Roman" w:eastAsia="Times New Roman" w:hAnsi="Times New Roman"/>
          <w:sz w:val="12"/>
          <w:szCs w:val="12"/>
          <w:color w:val="auto"/>
        </w:rPr>
        <w:t>The enclosed proxy is solicited by and on behalf of our Board of Directors. The expense of preparing, printing and mailing this Proxy Statement and the proxies solicited hereby will be borne by the Company. In addition to the use of the mail, proxies may be solicited by officers and directors, without additional remuneration, by personal interview, telephone or otherwise. The Company will also request brokerage firms, nominees, custodians and fiduciaries to forward proxy materials to the beneficial owners of Common Stock held of record as of the close of business on April 28, 2025, and will provide reimbursement for the cost of forwarding the materials.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Stockholders Entitled to Vote</w:t>
      </w:r>
    </w:p>
    <w:p>
      <w:pPr>
        <w:spacing w:after="0" w:line="154"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As of April 28, 2025, there were 274,180,463 shares of Common Stock outstanding and entitled to vote. Additionally, the holders of our 4.8% Series B Convertible Preferred Stock ("Series B Preferred Stock") are entitled to vote on an as-converted basis, and as of April 28, 2025, the holders of the Series B Preferred Stock could have converted the Series B Preferred Stock into 4,103,841 shares of Common Stock. Each share of Common Stock entitles the holder to one vote. Stockholders of record at the close of business on April 28, 2025 are entitled to vote at the Annual Meeting and any adjournment or postponement thereof.</w:t>
      </w:r>
    </w:p>
    <w:p>
      <w:pPr>
        <w:spacing w:after="0" w:line="117" w:lineRule="exact"/>
        <w:rPr>
          <w:sz w:val="20"/>
          <w:szCs w:val="20"/>
          <w:color w:val="auto"/>
        </w:rPr>
      </w:pPr>
    </w:p>
    <w:p>
      <w:pPr>
        <w:ind w:right="30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Stockholders of Record. </w:t>
      </w:r>
      <w:r>
        <w:rPr>
          <w:rFonts w:ascii="Times New Roman" w:cs="Times New Roman" w:eastAsia="Times New Roman" w:hAnsi="Times New Roman"/>
          <w:sz w:val="12"/>
          <w:szCs w:val="12"/>
          <w:color w:val="auto"/>
        </w:rPr>
        <w:t>If your shares are registered directly in your name with the Company’s transfer agent, Equiniti Trust Company LLC, you are considered the stockholder of record with respect to those shares, and these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proxy materials were sent directly to you by the Company.</w:t>
      </w:r>
    </w:p>
    <w:p>
      <w:pPr>
        <w:spacing w:after="0" w:line="107" w:lineRule="exact"/>
        <w:rPr>
          <w:sz w:val="20"/>
          <w:szCs w:val="20"/>
          <w:color w:val="auto"/>
        </w:rPr>
      </w:pPr>
    </w:p>
    <w:p>
      <w:pPr>
        <w:ind w:right="4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Street Name Holders. </w:t>
      </w:r>
      <w:r>
        <w:rPr>
          <w:rFonts w:ascii="Times New Roman" w:cs="Times New Roman" w:eastAsia="Times New Roman" w:hAnsi="Times New Roman"/>
          <w:sz w:val="12"/>
          <w:szCs w:val="12"/>
          <w:color w:val="auto"/>
        </w:rPr>
        <w:t>If your shares are held in an account at a brokerage firm, bank, broker-dealer or other similar organization, then you are the beneficial owner of shares held in “street name,” and these proxy materials will be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or have been forwarded to you by your bank or broker. The bank or broker holding your account is considered the stockholder of record for purposes of voting at the Annual Meeting. As a beneficial owner, you have the right to instruct your bank or broker on how to vote the shares held in your account. If you wish to attend the Annual Meeting, you will need to obtain a “legal proxy” from your bank or broker.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Required Vote</w:t>
      </w:r>
    </w:p>
    <w:p>
      <w:pPr>
        <w:spacing w:after="0" w:line="154" w:lineRule="exact"/>
        <w:rPr>
          <w:sz w:val="20"/>
          <w:szCs w:val="20"/>
          <w:color w:val="auto"/>
        </w:rPr>
      </w:pPr>
    </w:p>
    <w:p>
      <w:pPr>
        <w:ind w:right="80" w:firstLine="240"/>
        <w:spacing w:after="0" w:line="265" w:lineRule="auto"/>
        <w:rPr>
          <w:sz w:val="20"/>
          <w:szCs w:val="20"/>
          <w:color w:val="auto"/>
        </w:rPr>
      </w:pPr>
      <w:r>
        <w:rPr>
          <w:rFonts w:ascii="Times New Roman" w:cs="Times New Roman" w:eastAsia="Times New Roman" w:hAnsi="Times New Roman"/>
          <w:sz w:val="12"/>
          <w:szCs w:val="12"/>
          <w:color w:val="auto"/>
        </w:rPr>
        <w:t>A quorum will be present if the holders of a majority of the outstanding shares of Common Stock entitled to vote are present, in person or by proxy, at the Annual Meeting. If you have returned a valid proxy or if you hold your shares in your own name as holder of record and attend the Annual Meeting in person, your shares will be counted as present for the purpose of determining whether there is a quorum. Abstentions and broker “non-votes” (as described below) will be treated as shares that are present and entitled to vote for purposes of determining the presence of a quorum.</w:t>
      </w:r>
    </w:p>
    <w:p>
      <w:pPr>
        <w:spacing w:after="0" w:line="11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If a quorum is not present, the Annual Meeting may be adjourned by the chairman of the meeting or by the vote of a majority of the shares represented at the Annual Meeting until a quorum has been obtained.</w:t>
      </w:r>
    </w:p>
    <w:p>
      <w:pPr>
        <w:spacing w:after="0" w:line="150" w:lineRule="exact"/>
        <w:rPr>
          <w:sz w:val="20"/>
          <w:szCs w:val="20"/>
          <w:color w:val="auto"/>
        </w:rPr>
      </w:pPr>
    </w:p>
    <w:p>
      <w:pPr>
        <w:ind w:right="60" w:firstLine="240"/>
        <w:spacing w:after="0" w:line="279" w:lineRule="auto"/>
        <w:rPr>
          <w:sz w:val="20"/>
          <w:szCs w:val="20"/>
          <w:color w:val="auto"/>
        </w:rPr>
      </w:pPr>
      <w:r>
        <w:rPr>
          <w:rFonts w:ascii="Times New Roman" w:cs="Times New Roman" w:eastAsia="Times New Roman" w:hAnsi="Times New Roman"/>
          <w:sz w:val="12"/>
          <w:szCs w:val="12"/>
          <w:color w:val="auto"/>
        </w:rPr>
        <w:t>For the election of the nominees to our Board of Directors, the affirmative vote of a plurality of the votes cast at the Annual Meeting is sufficient to elect the nominee if a quorum is present. For the approval of Ernst &amp; Young LLP as the Company’s independent registered public accounting firm for the fiscal year ending December 31, 2025, the affirmative vote of a majority of the votes cast at the Annual Meeting is required to approve such matter.</w:t>
      </w:r>
    </w:p>
    <w:p>
      <w:pPr>
        <w:spacing w:after="0" w:line="111" w:lineRule="exact"/>
        <w:rPr>
          <w:sz w:val="20"/>
          <w:szCs w:val="20"/>
          <w:color w:val="auto"/>
        </w:rPr>
      </w:pPr>
    </w:p>
    <w:p>
      <w:pPr>
        <w:jc w:val="both"/>
        <w:ind w:right="120" w:firstLine="240"/>
        <w:spacing w:after="0" w:line="260" w:lineRule="auto"/>
        <w:rPr>
          <w:sz w:val="20"/>
          <w:szCs w:val="20"/>
          <w:color w:val="auto"/>
        </w:rPr>
      </w:pPr>
      <w:r>
        <w:rPr>
          <w:rFonts w:ascii="Times New Roman" w:cs="Times New Roman" w:eastAsia="Times New Roman" w:hAnsi="Times New Roman"/>
          <w:sz w:val="12"/>
          <w:szCs w:val="12"/>
          <w:color w:val="auto"/>
        </w:rPr>
        <w:t>Broker non-votes are instances where a broker holding shares of record for a beneficial owner does not vote the shares because it has not received voting instructions from the beneficial owner and therefore is precluded by stock exchange rules from voting on a particular matter. Under these rules, when a broker holding shares in “street name” does not receive voting instructions from a beneficial owner, the broker has discretionary authority to vote on certain routine matters but is prohibited from voting on non-routine matters. Brokers who do not receive instructions are not entitled to vote on the election of directors, but they are entitled to vote on the ratification of the appointment of the independent registered public accounting firm.</w:t>
      </w:r>
    </w:p>
    <w:p>
      <w:pPr>
        <w:spacing w:after="0" w:line="122" w:lineRule="exact"/>
        <w:rPr>
          <w:sz w:val="20"/>
          <w:szCs w:val="20"/>
          <w:color w:val="auto"/>
        </w:rPr>
      </w:pPr>
    </w:p>
    <w:p>
      <w:pPr>
        <w:ind w:right="140" w:firstLine="240"/>
        <w:spacing w:after="0" w:line="265" w:lineRule="auto"/>
        <w:rPr>
          <w:sz w:val="20"/>
          <w:szCs w:val="20"/>
          <w:color w:val="auto"/>
        </w:rPr>
      </w:pPr>
      <w:r>
        <w:rPr>
          <w:rFonts w:ascii="Times New Roman" w:cs="Times New Roman" w:eastAsia="Times New Roman" w:hAnsi="Times New Roman"/>
          <w:sz w:val="12"/>
          <w:szCs w:val="12"/>
          <w:color w:val="auto"/>
        </w:rPr>
        <w:t>A vote “withheld” from a director nominee or a broker non-vote on a director nominee will have no effect on the outcome of the vote because it will not be counted in the number of votes cast on a matter and a plurality of the votes cast at the Annual Meeting is required for the election of each director. Similarly, any abstentions or broker non-votes on the ratification of the appointment of the independent registered public accounting firm will not affect the outcome because abstentions and broker non-votes are not counted as votes cast.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7" w:name="page8"/>
    <w:bookmarkEnd w:id="7"/>
    <w:p>
      <w:pPr>
        <w:ind w:right="100" w:firstLine="216"/>
        <w:spacing w:after="0" w:line="279" w:lineRule="auto"/>
        <w:rPr>
          <w:sz w:val="20"/>
          <w:szCs w:val="20"/>
          <w:color w:val="auto"/>
        </w:rPr>
      </w:pPr>
      <w:r>
        <w:rPr>
          <w:rFonts w:ascii="Times New Roman" w:cs="Times New Roman" w:eastAsia="Times New Roman" w:hAnsi="Times New Roman"/>
          <w:sz w:val="12"/>
          <w:szCs w:val="12"/>
          <w:color w:val="auto"/>
        </w:rPr>
        <w:t>If the enclosed proxy card is properly executed and returned to us in time to be voted at the Annual Meeting, it will be voted as specified on the proxy card unless it is properly revoked prior thereto. If no specification is made on the proxy card as to any one or more of the proposals, the shares of Common Stock represented by the proxy will be voted as follows:</w:t>
      </w:r>
    </w:p>
    <w:p>
      <w:pPr>
        <w:spacing w:after="0" w:line="89" w:lineRule="exact"/>
        <w:rPr>
          <w:sz w:val="20"/>
          <w:szCs w:val="20"/>
          <w:color w:val="auto"/>
        </w:rPr>
      </w:pPr>
    </w:p>
    <w:p>
      <w:pPr>
        <w:ind w:left="660" w:hanging="416"/>
        <w:spacing w:after="0"/>
        <w:tabs>
          <w:tab w:leader="none" w:pos="66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b w:val="1"/>
          <w:bCs w:val="1"/>
          <w:color w:val="auto"/>
        </w:rPr>
        <w:t xml:space="preserve">FOR </w:t>
      </w:r>
      <w:r>
        <w:rPr>
          <w:rFonts w:ascii="Times New Roman" w:cs="Times New Roman" w:eastAsia="Times New Roman" w:hAnsi="Times New Roman"/>
          <w:sz w:val="12"/>
          <w:szCs w:val="12"/>
          <w:color w:val="auto"/>
        </w:rPr>
        <w:t>the election of the nominees to our Board of Directors;</w:t>
      </w:r>
    </w:p>
    <w:p>
      <w:pPr>
        <w:spacing w:after="0" w:line="88" w:lineRule="exact"/>
        <w:rPr>
          <w:rFonts w:ascii="Times New Roman" w:cs="Times New Roman" w:eastAsia="Times New Roman" w:hAnsi="Times New Roman"/>
          <w:sz w:val="24"/>
          <w:szCs w:val="24"/>
          <w:color w:val="auto"/>
          <w:vertAlign w:val="superscript"/>
        </w:rPr>
      </w:pPr>
    </w:p>
    <w:p>
      <w:pPr>
        <w:ind w:left="660" w:hanging="416"/>
        <w:spacing w:after="0" w:line="189" w:lineRule="auto"/>
        <w:tabs>
          <w:tab w:leader="none" w:pos="660"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b w:val="1"/>
          <w:bCs w:val="1"/>
          <w:color w:val="auto"/>
        </w:rPr>
        <w:t xml:space="preserve">FOR </w:t>
      </w:r>
      <w:r>
        <w:rPr>
          <w:rFonts w:ascii="Times New Roman" w:cs="Times New Roman" w:eastAsia="Times New Roman" w:hAnsi="Times New Roman"/>
          <w:sz w:val="12"/>
          <w:szCs w:val="12"/>
          <w:color w:val="auto"/>
        </w:rPr>
        <w:t>the approval of the appointment of Ernst &amp; Young LLP as the Company’s independent registered public accounting firm for the fiscal year ending December 31, 2025; and</w:t>
      </w:r>
    </w:p>
    <w:p>
      <w:pPr>
        <w:spacing w:after="0" w:line="82" w:lineRule="exact"/>
        <w:rPr>
          <w:rFonts w:ascii="Times New Roman" w:cs="Times New Roman" w:eastAsia="Times New Roman" w:hAnsi="Times New Roman"/>
          <w:sz w:val="24"/>
          <w:szCs w:val="24"/>
          <w:color w:val="auto"/>
          <w:vertAlign w:val="superscript"/>
        </w:rPr>
      </w:pPr>
    </w:p>
    <w:p>
      <w:pPr>
        <w:ind w:left="660" w:hanging="416"/>
        <w:spacing w:after="0"/>
        <w:tabs>
          <w:tab w:leader="none" w:pos="66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discretion of the proxy holder on any other business that properly comes before the Annual Meeting and any adjournment or postponement thereof.</w:t>
      </w:r>
    </w:p>
    <w:p>
      <w:pPr>
        <w:spacing w:after="0" w:line="20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As of the date of this Proxy Statement, we are not aware of any other matter to be raised at the Annual Meeting.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Voting</w:t>
      </w:r>
    </w:p>
    <w:p>
      <w:pPr>
        <w:spacing w:after="0" w:line="152" w:lineRule="exact"/>
        <w:rPr>
          <w:sz w:val="20"/>
          <w:szCs w:val="20"/>
          <w:color w:val="auto"/>
        </w:rPr>
      </w:pPr>
    </w:p>
    <w:p>
      <w:pPr>
        <w:ind w:right="12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Stockholders of Record. </w:t>
      </w:r>
      <w:r>
        <w:rPr>
          <w:rFonts w:ascii="Times New Roman" w:cs="Times New Roman" w:eastAsia="Times New Roman" w:hAnsi="Times New Roman"/>
          <w:sz w:val="12"/>
          <w:szCs w:val="12"/>
          <w:color w:val="auto"/>
        </w:rPr>
        <w:t>If you are a stockholder of record, you may instruct the proxies to vote your shares by telephone, by the Internet or by signing, dating and mailing the proxy card in the postage-paid envelope provided.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addition, you may vote your shares of Common Stock in person at the Annual Meeting.</w:t>
      </w:r>
    </w:p>
    <w:p>
      <w:pPr>
        <w:spacing w:after="0" w:line="10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Street Name Holders</w:t>
      </w:r>
      <w:r>
        <w:rPr>
          <w:rFonts w:ascii="Times New Roman" w:cs="Times New Roman" w:eastAsia="Times New Roman" w:hAnsi="Times New Roman"/>
          <w:sz w:val="12"/>
          <w:szCs w:val="12"/>
          <w:color w:val="auto"/>
        </w:rPr>
        <w:t>. If you are a street name holder, you will receive instructions from your bank or broker that you must follow to be able to attend the Annual Meeting or to have your shares voted at the Annual Meeting.</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Right to Revoke Proxy</w:t>
      </w:r>
    </w:p>
    <w:p>
      <w:pPr>
        <w:spacing w:after="0" w:line="15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Stockholders of Record. </w:t>
      </w:r>
      <w:r>
        <w:rPr>
          <w:rFonts w:ascii="Times New Roman" w:cs="Times New Roman" w:eastAsia="Times New Roman" w:hAnsi="Times New Roman"/>
          <w:sz w:val="12"/>
          <w:szCs w:val="12"/>
          <w:color w:val="auto"/>
        </w:rPr>
        <w:t>If you are a stockholder of record, you may revoke your proxy instructions through any of the following methods:</w:t>
      </w:r>
    </w:p>
    <w:p>
      <w:pPr>
        <w:spacing w:after="0" w:line="175" w:lineRule="exact"/>
        <w:rPr>
          <w:sz w:val="20"/>
          <w:szCs w:val="20"/>
          <w:color w:val="auto"/>
        </w:rPr>
      </w:pPr>
    </w:p>
    <w:p>
      <w:pPr>
        <w:ind w:left="660" w:hanging="416"/>
        <w:spacing w:after="0"/>
        <w:tabs>
          <w:tab w:leader="none" w:pos="660" w:val="left"/>
        </w:tabs>
        <w:numPr>
          <w:ilvl w:val="0"/>
          <w:numId w:val="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color w:val="auto"/>
        </w:rPr>
        <w:t>send written notice of revocation, prior to the Annual Meeting, to our Secretary, Mr. Kevin F. Sullivan, at New Fortress Energy Inc., 111 W. 19</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Street, 8</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Floor, New York, New York 10011;</w:t>
      </w:r>
    </w:p>
    <w:p>
      <w:pPr>
        <w:spacing w:after="0" w:line="43" w:lineRule="exact"/>
        <w:rPr>
          <w:rFonts w:ascii="Times New Roman" w:cs="Times New Roman" w:eastAsia="Times New Roman" w:hAnsi="Times New Roman"/>
          <w:sz w:val="24"/>
          <w:szCs w:val="24"/>
          <w:color w:val="auto"/>
          <w:vertAlign w:val="superscript"/>
        </w:rPr>
      </w:pPr>
    </w:p>
    <w:p>
      <w:pPr>
        <w:ind w:left="660" w:hanging="416"/>
        <w:spacing w:after="0"/>
        <w:tabs>
          <w:tab w:leader="none" w:pos="6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 date and mail a new proxy card to our Secretary;</w:t>
      </w:r>
    </w:p>
    <w:p>
      <w:pPr>
        <w:spacing w:after="0" w:line="77" w:lineRule="exact"/>
        <w:rPr>
          <w:rFonts w:ascii="Times New Roman" w:cs="Times New Roman" w:eastAsia="Times New Roman" w:hAnsi="Times New Roman"/>
          <w:sz w:val="12"/>
          <w:szCs w:val="12"/>
          <w:color w:val="auto"/>
        </w:rPr>
      </w:pPr>
    </w:p>
    <w:p>
      <w:pPr>
        <w:ind w:left="660" w:hanging="416"/>
        <w:spacing w:after="0"/>
        <w:tabs>
          <w:tab w:leader="none" w:pos="6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dial the number provided on the proxy card and vote again;</w:t>
      </w:r>
    </w:p>
    <w:p>
      <w:pPr>
        <w:spacing w:after="0" w:line="96" w:lineRule="exact"/>
        <w:rPr>
          <w:rFonts w:ascii="Times New Roman" w:cs="Times New Roman" w:eastAsia="Times New Roman" w:hAnsi="Times New Roman"/>
          <w:sz w:val="12"/>
          <w:szCs w:val="12"/>
          <w:color w:val="auto"/>
        </w:rPr>
      </w:pPr>
    </w:p>
    <w:p>
      <w:pPr>
        <w:ind w:left="660" w:hanging="416"/>
        <w:spacing w:after="0"/>
        <w:tabs>
          <w:tab w:leader="none" w:pos="6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log onto the website provided on the proxy card and vote again; or</w:t>
      </w:r>
    </w:p>
    <w:p>
      <w:pPr>
        <w:spacing w:after="0" w:line="96" w:lineRule="exact"/>
        <w:rPr>
          <w:rFonts w:ascii="Times New Roman" w:cs="Times New Roman" w:eastAsia="Times New Roman" w:hAnsi="Times New Roman"/>
          <w:sz w:val="12"/>
          <w:szCs w:val="12"/>
          <w:color w:val="auto"/>
        </w:rPr>
      </w:pPr>
    </w:p>
    <w:p>
      <w:pPr>
        <w:ind w:left="660" w:hanging="416"/>
        <w:spacing w:after="0"/>
        <w:tabs>
          <w:tab w:leader="none" w:pos="66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attend the Annual Meeting and vote your shares in person.</w:t>
      </w:r>
    </w:p>
    <w:p>
      <w:pPr>
        <w:spacing w:after="0" w:line="2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Street Name Holders. </w:t>
      </w:r>
      <w:r>
        <w:rPr>
          <w:rFonts w:ascii="Times New Roman" w:cs="Times New Roman" w:eastAsia="Times New Roman" w:hAnsi="Times New Roman"/>
          <w:sz w:val="12"/>
          <w:szCs w:val="12"/>
          <w:color w:val="auto"/>
        </w:rPr>
        <w:t>If you are a street name holder, you must contact your bank or broker to receive instructions as to how you may revoke your proxy instructions.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Copies of Annual Report to Stockholders</w:t>
      </w:r>
    </w:p>
    <w:p>
      <w:pPr>
        <w:spacing w:after="0" w:line="154" w:lineRule="exact"/>
        <w:rPr>
          <w:sz w:val="20"/>
          <w:szCs w:val="20"/>
          <w:color w:val="auto"/>
        </w:rPr>
      </w:pPr>
    </w:p>
    <w:p>
      <w:pPr>
        <w:ind w:firstLine="216"/>
        <w:spacing w:after="0" w:line="237" w:lineRule="auto"/>
        <w:rPr>
          <w:sz w:val="20"/>
          <w:szCs w:val="20"/>
          <w:color w:val="auto"/>
        </w:rPr>
      </w:pPr>
      <w:r>
        <w:rPr>
          <w:rFonts w:ascii="Times New Roman" w:cs="Times New Roman" w:eastAsia="Times New Roman" w:hAnsi="Times New Roman"/>
          <w:sz w:val="12"/>
          <w:szCs w:val="12"/>
          <w:color w:val="auto"/>
        </w:rPr>
        <w:t>A copy of our Annual Report on Form 10-K for our most recently completed fiscal year, which was filed with the Securities and Exchange Commission (the “SEC”) on March 10, 2025, will be mailed to stockholders entitled to vote at the Annual Meeting who have elected to receive a hard copy of the proxy materials and is also available without charge to stockholders upon written request to: New Fortress Energy Inc., 111 W. 19</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Street, 8</w:t>
      </w:r>
      <w:r>
        <w:rPr>
          <w:rFonts w:ascii="Times New Roman" w:cs="Times New Roman" w:eastAsia="Times New Roman" w:hAnsi="Times New Roman"/>
          <w:sz w:val="15"/>
          <w:szCs w:val="15"/>
          <w:color w:val="auto"/>
          <w:vertAlign w:val="superscript"/>
        </w:rPr>
        <w:t>th</w:t>
      </w:r>
      <w:r>
        <w:rPr>
          <w:rFonts w:ascii="Times New Roman" w:cs="Times New Roman" w:eastAsia="Times New Roman" w:hAnsi="Times New Roman"/>
          <w:sz w:val="12"/>
          <w:szCs w:val="12"/>
          <w:color w:val="auto"/>
        </w:rPr>
        <w:t xml:space="preserve"> Floor, New York, New York 10011, Attention: Investor Relations. You can also find a copy of our Annual Report on the Investor Relations section of the NFE website (www.newfortressenergy.com).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Voting Results</w:t>
      </w:r>
    </w:p>
    <w:p>
      <w:pPr>
        <w:spacing w:after="0" w:line="154"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Broadridge Financial Solutions, Inc., our independent tabulating agent, will count the votes and act as the Inspector of Election (the “Inspector of Election”). We will publish the voting results in a Current Report on Form 8-K, which will be filed with the SEC within four business days of the Annual Meeting.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Confidentiality of Voting</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keep all proxies, ballots and voting tabulations confidential as a matter of practice. We permit only the Inspector of Election to examine these documents.</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05"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b w:val="1"/>
          <w:bCs w:val="1"/>
          <w:color w:val="auto"/>
        </w:rPr>
        <w:t>Recommendations of the Board of Directors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Board of Directors recommends a vote:</w:t>
      </w:r>
    </w:p>
    <w:p>
      <w:pPr>
        <w:spacing w:after="0" w:line="128" w:lineRule="exact"/>
        <w:rPr>
          <w:sz w:val="20"/>
          <w:szCs w:val="20"/>
          <w:color w:val="auto"/>
        </w:rPr>
      </w:pPr>
    </w:p>
    <w:p>
      <w:pPr>
        <w:ind w:left="660" w:hanging="416"/>
        <w:spacing w:after="0"/>
        <w:tabs>
          <w:tab w:leader="none" w:pos="660" w:val="left"/>
        </w:tabs>
        <w:numPr>
          <w:ilvl w:val="0"/>
          <w:numId w:val="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2"/>
          <w:szCs w:val="12"/>
          <w:b w:val="1"/>
          <w:bCs w:val="1"/>
          <w:color w:val="auto"/>
        </w:rPr>
        <w:t xml:space="preserve">FOR </w:t>
      </w:r>
      <w:r>
        <w:rPr>
          <w:rFonts w:ascii="Times New Roman" w:cs="Times New Roman" w:eastAsia="Times New Roman" w:hAnsi="Times New Roman"/>
          <w:sz w:val="12"/>
          <w:szCs w:val="12"/>
          <w:color w:val="auto"/>
        </w:rPr>
        <w:t>the election of the nominees to our Board of Directors; and</w:t>
      </w:r>
    </w:p>
    <w:p>
      <w:pPr>
        <w:spacing w:after="0" w:line="88" w:lineRule="exact"/>
        <w:rPr>
          <w:rFonts w:ascii="Times New Roman" w:cs="Times New Roman" w:eastAsia="Times New Roman" w:hAnsi="Times New Roman"/>
          <w:sz w:val="24"/>
          <w:szCs w:val="24"/>
          <w:color w:val="auto"/>
          <w:vertAlign w:val="superscript"/>
        </w:rPr>
      </w:pPr>
    </w:p>
    <w:p>
      <w:pPr>
        <w:ind w:left="660" w:hanging="416"/>
        <w:spacing w:after="0" w:line="206" w:lineRule="auto"/>
        <w:tabs>
          <w:tab w:leader="none" w:pos="660" w:val="left"/>
        </w:tabs>
        <w:numPr>
          <w:ilvl w:val="0"/>
          <w:numId w:val="7"/>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1"/>
          <w:szCs w:val="11"/>
          <w:b w:val="1"/>
          <w:bCs w:val="1"/>
          <w:color w:val="auto"/>
        </w:rPr>
        <w:t xml:space="preserve">FOR </w:t>
      </w:r>
      <w:r>
        <w:rPr>
          <w:rFonts w:ascii="Times New Roman" w:cs="Times New Roman" w:eastAsia="Times New Roman" w:hAnsi="Times New Roman"/>
          <w:sz w:val="11"/>
          <w:szCs w:val="11"/>
          <w:color w:val="auto"/>
        </w:rPr>
        <w:t>the approval of the appointment of Ernst &amp; Young LLP as independent registered public accounting firm for the Company for fiscal year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701" w:right="1440"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2"/>
          <w:szCs w:val="12"/>
          <w:b w:val="1"/>
          <w:bCs w:val="1"/>
          <w:color w:val="auto"/>
        </w:rPr>
        <w:t>PROPOSAL NO. 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ELECTION OF DIRECTORS</w:t>
      </w:r>
    </w:p>
    <w:p>
      <w:pPr>
        <w:spacing w:after="0" w:line="1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first proposal is to elect three Class III directors to serve until the 2028 annual meeting of stockholders and until their respective successors are duly elected or appointed and qualified.</w:t>
      </w:r>
    </w:p>
    <w:p>
      <w:pPr>
        <w:spacing w:after="0" w:line="150"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Our Certificate of Incorporation authorizes the number of directors to be determined from time to time by resolution adopted by a majority of the Board of Directors then in office (subject to those certain exceptions in the Bylaws and the Shareholders’ Agreement, dated as of February 4, 2019, by and among the Company, Wesley R. Edens and Randal A. Nardone, as it may be amended (the “Shareholders’ Agreement”)), as described under “Certain Relationships and Related Persons.” The number of directors on the Board is currently fixed at eight. Our Board of Directors is divided into three classes. The members of each class of directors serve staggered three-year terms.</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 April 23, 2025, John J. Mack retired as an independent director of the Company.</w:t>
      </w:r>
    </w:p>
    <w:p>
      <w:pPr>
        <w:spacing w:after="0" w:line="150"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On April 28, 2025, our Board of Directors appointed Charles M. Sledge as a Class 1 director of the Board of Directors,effective immediately, and he will serve until the Company’s 2026 annual meeting of shareholders and until his successor is duly elected and qualified or until his earlier death, resignation or removal. Mr. Sledge will receive the standard annual Board compensation for non-employee directors for 2025 pro-rated for the date that he joined the Board of Directors. In connection with his appointment, the Company entered into its customary indemnification agreement with Mr. Sledge.</w:t>
      </w:r>
    </w:p>
    <w:p>
      <w:pPr>
        <w:spacing w:after="0" w:line="1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Our current Board of Directors is classified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380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Class</w:t>
            </w:r>
          </w:p>
        </w:tc>
        <w:tc>
          <w:tcPr>
            <w:tcW w:w="16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Term Expiration</w:t>
            </w:r>
          </w:p>
        </w:tc>
        <w:tc>
          <w:tcPr>
            <w:tcW w:w="4780" w:type="dxa"/>
            <w:vAlign w:val="bottom"/>
            <w:gridSpan w:val="2"/>
          </w:tcPr>
          <w:p>
            <w:pPr>
              <w:ind w:left="2140"/>
              <w:spacing w:after="0"/>
              <w:rPr>
                <w:sz w:val="20"/>
                <w:szCs w:val="20"/>
                <w:color w:val="auto"/>
              </w:rPr>
            </w:pPr>
            <w:r>
              <w:rPr>
                <w:rFonts w:ascii="Times New Roman" w:cs="Times New Roman" w:eastAsia="Times New Roman" w:hAnsi="Times New Roman"/>
                <w:sz w:val="10"/>
                <w:szCs w:val="10"/>
                <w:b w:val="1"/>
                <w:bCs w:val="1"/>
                <w:color w:val="auto"/>
              </w:rPr>
              <w:t>Director</w:t>
            </w:r>
          </w:p>
        </w:tc>
        <w:tc>
          <w:tcPr>
            <w:tcW w:w="10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Age</w:t>
            </w:r>
          </w:p>
        </w:tc>
      </w:tr>
      <w:tr>
        <w:trPr>
          <w:trHeight w:val="151"/>
        </w:trPr>
        <w:tc>
          <w:tcPr>
            <w:tcW w:w="3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Class I</w:t>
            </w:r>
          </w:p>
        </w:tc>
        <w:tc>
          <w:tcPr>
            <w:tcW w:w="14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2026</w:t>
            </w:r>
          </w:p>
        </w:tc>
        <w:tc>
          <w:tcPr>
            <w:tcW w:w="140" w:type="dxa"/>
            <w:vAlign w:val="bottom"/>
            <w:tcBorders>
              <w:top w:val="single" w:sz="8" w:color="CCEEFF"/>
            </w:tcBorders>
            <w:shd w:val="clear" w:color="auto" w:fill="CCEEFF"/>
          </w:tcPr>
          <w:p>
            <w:pPr>
              <w:spacing w:after="0"/>
              <w:rPr>
                <w:sz w:val="13"/>
                <w:szCs w:val="13"/>
                <w:color w:val="auto"/>
              </w:rPr>
            </w:pPr>
          </w:p>
        </w:tc>
        <w:tc>
          <w:tcPr>
            <w:tcW w:w="4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Charles M. Sledge</w:t>
            </w:r>
          </w:p>
        </w:tc>
        <w:tc>
          <w:tcPr>
            <w:tcW w:w="14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59</w:t>
            </w:r>
          </w:p>
        </w:tc>
      </w:tr>
      <w:tr>
        <w:trPr>
          <w:trHeight w:val="153"/>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Katherine E. Wanner</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57</w:t>
            </w:r>
          </w:p>
        </w:tc>
      </w:tr>
      <w:tr>
        <w:trPr>
          <w:trHeight w:val="153"/>
        </w:trPr>
        <w:tc>
          <w:tcPr>
            <w:tcW w:w="3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Class II</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2027</w:t>
            </w:r>
          </w:p>
        </w:tc>
        <w:tc>
          <w:tcPr>
            <w:tcW w:w="140" w:type="dxa"/>
            <w:vAlign w:val="bottom"/>
            <w:shd w:val="clear" w:color="auto" w:fill="CCEEFF"/>
          </w:tcPr>
          <w:p>
            <w:pPr>
              <w:spacing w:after="0"/>
              <w:rPr>
                <w:sz w:val="13"/>
                <w:szCs w:val="13"/>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David J. Grain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62</w:t>
            </w:r>
          </w:p>
        </w:tc>
      </w:tr>
      <w:tr>
        <w:trPr>
          <w:trHeight w:val="153"/>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 William Griffin</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74</w:t>
            </w:r>
          </w:p>
        </w:tc>
      </w:tr>
      <w:tr>
        <w:trPr>
          <w:trHeight w:val="153"/>
        </w:trPr>
        <w:tc>
          <w:tcPr>
            <w:tcW w:w="3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Timothy W. Jay</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65</w:t>
            </w:r>
          </w:p>
        </w:tc>
      </w:tr>
      <w:tr>
        <w:trPr>
          <w:trHeight w:val="153"/>
        </w:trPr>
        <w:tc>
          <w:tcPr>
            <w:tcW w:w="38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Class III</w:t>
            </w:r>
          </w:p>
        </w:tc>
        <w:tc>
          <w:tcPr>
            <w:tcW w:w="15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2025</w:t>
            </w:r>
          </w:p>
        </w:tc>
        <w:tc>
          <w:tcPr>
            <w:tcW w:w="14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Desmond Iain Catterall</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68</w:t>
            </w:r>
          </w:p>
        </w:tc>
      </w:tr>
      <w:tr>
        <w:trPr>
          <w:trHeight w:val="153"/>
        </w:trPr>
        <w:tc>
          <w:tcPr>
            <w:tcW w:w="36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Wesley R. Edens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63</w:t>
            </w:r>
          </w:p>
        </w:tc>
      </w:tr>
      <w:tr>
        <w:trPr>
          <w:trHeight w:val="155"/>
        </w:trPr>
        <w:tc>
          <w:tcPr>
            <w:tcW w:w="3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7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Randal A. Nardone</w:t>
            </w:r>
          </w:p>
        </w:tc>
        <w:tc>
          <w:tcPr>
            <w:tcW w:w="10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6395720</wp:posOffset>
            </wp:positionH>
            <wp:positionV relativeFrom="paragraph">
              <wp:posOffset>-783590</wp:posOffset>
            </wp:positionV>
            <wp:extent cx="914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3361055</wp:posOffset>
            </wp:positionH>
            <wp:positionV relativeFrom="paragraph">
              <wp:posOffset>-783590</wp:posOffset>
            </wp:positionV>
            <wp:extent cx="914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2326640</wp:posOffset>
            </wp:positionH>
            <wp:positionV relativeFrom="paragraph">
              <wp:posOffset>-783590</wp:posOffset>
            </wp:positionV>
            <wp:extent cx="914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7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Board of Directors has unanimously proposed Desmond Iain Catterall, Wesley R. Edens and Randal A. Nardone as nominees for election as Class III directors. The director nominees currently serve on our Board of Directors.</w:t>
      </w:r>
    </w:p>
    <w:p>
      <w:pPr>
        <w:spacing w:after="0" w:line="150" w:lineRule="exact"/>
        <w:rPr>
          <w:sz w:val="20"/>
          <w:szCs w:val="20"/>
          <w:color w:val="auto"/>
        </w:rPr>
      </w:pPr>
    </w:p>
    <w:p>
      <w:pPr>
        <w:jc w:val="both"/>
        <w:ind w:right="200" w:firstLine="216"/>
        <w:spacing w:after="0" w:line="265" w:lineRule="auto"/>
        <w:rPr>
          <w:sz w:val="20"/>
          <w:szCs w:val="20"/>
          <w:color w:val="auto"/>
        </w:rPr>
      </w:pPr>
      <w:r>
        <w:rPr>
          <w:rFonts w:ascii="Times New Roman" w:cs="Times New Roman" w:eastAsia="Times New Roman" w:hAnsi="Times New Roman"/>
          <w:sz w:val="12"/>
          <w:szCs w:val="12"/>
          <w:color w:val="auto"/>
        </w:rPr>
        <w:t>If elected at the Annual Meeting, each of Mr. Catterall, Mr. Edens and Mr. Nardone will hold office until the 2028 annual meeting of stockholders and until their successors are duly elected or appointed and qualified, subject to earlier death, resignation or removal. Unless otherwise instructed, we will vote all proxies we receive FOR Mr. Catterall, Mr. Edens and Mr. Nardone. If any of the nominees become unable to stand for election as a director, an event that our Board of Directors does not presently expect, the proxy will be voted for a replacement nominee if one is designated by our Board of Directors.</w:t>
      </w:r>
    </w:p>
    <w:p>
      <w:pPr>
        <w:spacing w:after="0" w:line="115" w:lineRule="exact"/>
        <w:rPr>
          <w:sz w:val="20"/>
          <w:szCs w:val="20"/>
          <w:color w:val="auto"/>
        </w:rPr>
      </w:pPr>
    </w:p>
    <w:p>
      <w:pPr>
        <w:ind w:right="500" w:firstLine="216"/>
        <w:spacing w:after="0" w:line="286" w:lineRule="auto"/>
        <w:rPr>
          <w:sz w:val="20"/>
          <w:szCs w:val="20"/>
          <w:color w:val="auto"/>
        </w:rPr>
      </w:pPr>
      <w:r>
        <w:rPr>
          <w:rFonts w:ascii="Times New Roman" w:cs="Times New Roman" w:eastAsia="Times New Roman" w:hAnsi="Times New Roman"/>
          <w:sz w:val="12"/>
          <w:szCs w:val="12"/>
          <w:b w:val="1"/>
          <w:bCs w:val="1"/>
          <w:color w:val="auto"/>
        </w:rPr>
        <w:t>The Board of Directors recommends that you vote FOR the election of Desmond Iain Catterall, Wesley R. Edens and Randal A. Nardone to serve as our Class III directors until the 2028 annual meeting of the stockholders and until their successors are duly elected or appointed and qualified.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57"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b w:val="1"/>
          <w:bCs w:val="1"/>
          <w:color w:val="auto"/>
        </w:rPr>
        <w:t>Information Concerning Our Directors, Including the Director Nominees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Set forth below is certain biographical information for our directors, including the director nominees, as well as the month and year each person was first elected as one of our directors.</w:t>
      </w:r>
    </w:p>
    <w:p>
      <w:pPr>
        <w:spacing w:after="0" w:line="150" w:lineRule="exact"/>
        <w:rPr>
          <w:sz w:val="20"/>
          <w:szCs w:val="20"/>
          <w:color w:val="auto"/>
        </w:rPr>
      </w:pPr>
    </w:p>
    <w:p>
      <w:pPr>
        <w:ind w:right="320" w:firstLine="240"/>
        <w:spacing w:after="0" w:line="279" w:lineRule="auto"/>
        <w:rPr>
          <w:sz w:val="20"/>
          <w:szCs w:val="20"/>
          <w:color w:val="auto"/>
        </w:rPr>
      </w:pPr>
      <w:r>
        <w:rPr>
          <w:rFonts w:ascii="Times New Roman" w:cs="Times New Roman" w:eastAsia="Times New Roman" w:hAnsi="Times New Roman"/>
          <w:sz w:val="12"/>
          <w:szCs w:val="12"/>
          <w:color w:val="auto"/>
        </w:rPr>
        <w:t>In evaluating director candidates, our Board of Directors assessed whether a candidate possessed the integrity, judgment, knowledge, experience, skill and expertise that are likely to enhance the Board of Directors’ ability to manage and direct our affairs and business, including, when applicable, to enhance the ability of committees of the Board of Directors to fulfill their duties.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Wesley R. Edens</w:t>
      </w:r>
    </w:p>
    <w:p>
      <w:pPr>
        <w:spacing w:after="0" w:line="1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2"/>
          <w:szCs w:val="12"/>
          <w:color w:val="auto"/>
        </w:rPr>
        <w:t>Mr. Edens has been our Chief Executive Officer and the Chairman of our board of directors since August 2018.</w:t>
      </w:r>
    </w:p>
    <w:p>
      <w:pPr>
        <w:ind w:left="440"/>
        <w:spacing w:after="0"/>
        <w:rPr>
          <w:sz w:val="20"/>
          <w:szCs w:val="20"/>
          <w:color w:val="auto"/>
        </w:rPr>
      </w:pPr>
      <w:r>
        <w:rPr>
          <w:rFonts w:ascii="Times New Roman" w:cs="Times New Roman" w:eastAsia="Times New Roman" w:hAnsi="Times New Roman"/>
          <w:sz w:val="12"/>
          <w:szCs w:val="12"/>
          <w:color w:val="auto"/>
        </w:rPr>
        <w:t>Founder, Chief Executive Officer and Chairman since August 2018</w:t>
      </w:r>
    </w:p>
    <w:p>
      <w:pPr>
        <w:spacing w:after="0" w:line="12" w:lineRule="exact"/>
        <w:rPr>
          <w:sz w:val="20"/>
          <w:szCs w:val="20"/>
          <w:color w:val="auto"/>
        </w:rPr>
      </w:pPr>
    </w:p>
    <w:p>
      <w:pPr>
        <w:ind w:left="4360"/>
        <w:spacing w:after="0" w:line="257" w:lineRule="auto"/>
        <w:rPr>
          <w:sz w:val="20"/>
          <w:szCs w:val="20"/>
          <w:color w:val="auto"/>
        </w:rPr>
      </w:pPr>
      <w:r>
        <w:rPr>
          <w:rFonts w:ascii="Times New Roman" w:cs="Times New Roman" w:eastAsia="Times New Roman" w:hAnsi="Times New Roman"/>
          <w:sz w:val="12"/>
          <w:szCs w:val="12"/>
          <w:color w:val="auto"/>
        </w:rPr>
        <w:t>Mr. Edens was the Co-Chief Executive Officer of Fortress and was a member of the board of directors of Fortress from November 2006 to May 2024. Mr. Edens was a member of the Management Committee of Fortress since co-founding Fortress in May 1998 to May 2024. Mr. Edens has primary investment oversight of Fortress’ private equity and publicly traded alternative businesses. He is also the Chairman of the board of directors of Drive Shack Inc. (an owner and operator of golf-related leisure and entertainment businesses). Additionally, Mr. Edens previously served on the board of Mapeley Limited from May 2005 to May 2023.</w:t>
      </w:r>
    </w:p>
    <w:p>
      <w:pPr>
        <w:spacing w:after="0" w:line="287" w:lineRule="exact"/>
        <w:rPr>
          <w:sz w:val="20"/>
          <w:szCs w:val="20"/>
          <w:color w:val="auto"/>
        </w:rPr>
      </w:pPr>
    </w:p>
    <w:p>
      <w:pPr>
        <w:ind w:left="4360" w:right="300"/>
        <w:spacing w:after="0" w:line="265" w:lineRule="auto"/>
        <w:rPr>
          <w:sz w:val="20"/>
          <w:szCs w:val="20"/>
          <w:color w:val="auto"/>
        </w:rPr>
      </w:pPr>
      <w:r>
        <w:rPr>
          <w:rFonts w:ascii="Times New Roman" w:cs="Times New Roman" w:eastAsia="Times New Roman" w:hAnsi="Times New Roman"/>
          <w:sz w:val="12"/>
          <w:szCs w:val="12"/>
          <w:color w:val="auto"/>
        </w:rPr>
        <w:t>Prior to co-founding Fortress, Mr. Edens was a partner and managing director of BlackRock Financial Management Inc. (an investment management firm), where he headed BlackRock Asset Investors, a private equity fund. In addition, Mr. Edens was formerly a partner and managing director of Lehman Brothers Holdings Inc.</w:t>
      </w:r>
    </w:p>
    <w:p>
      <w:pPr>
        <w:spacing w:after="0" w:line="137" w:lineRule="exact"/>
        <w:rPr>
          <w:sz w:val="20"/>
          <w:szCs w:val="20"/>
          <w:color w:val="auto"/>
        </w:rPr>
      </w:pPr>
    </w:p>
    <w:p>
      <w:pPr>
        <w:ind w:left="4360" w:right="420"/>
        <w:spacing w:after="0" w:line="279" w:lineRule="auto"/>
        <w:rPr>
          <w:sz w:val="20"/>
          <w:szCs w:val="20"/>
          <w:color w:val="auto"/>
        </w:rPr>
      </w:pPr>
      <w:r>
        <w:rPr>
          <w:rFonts w:ascii="Times New Roman" w:cs="Times New Roman" w:eastAsia="Times New Roman" w:hAnsi="Times New Roman"/>
          <w:sz w:val="12"/>
          <w:szCs w:val="12"/>
          <w:color w:val="auto"/>
        </w:rPr>
        <w:t>Mr. Edens’ extensive credit, private equity finance and management expertise, extensive experience as an officer and director of public companies and his deep familiarity with our Company led the Board to conclude that Mr. Edens should serve as a director.</w:t>
      </w:r>
    </w:p>
    <w:p>
      <w:pPr>
        <w:sectPr>
          <w:pgSz w:w="11900" w:h="16838" w:orient="portrait"/>
          <w:cols w:equalWidth="0" w:num="1">
            <w:col w:w="11260"/>
          </w:cols>
          <w:pgMar w:left="300" w:top="1007" w:right="339" w:bottom="1440" w:gutter="0" w:footer="0" w:header="0"/>
        </w:sect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Desmond Iain Catterall</w:t>
      </w:r>
    </w:p>
    <w:p>
      <w:pPr>
        <w:spacing w:after="0" w:line="145"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12"/>
          <w:szCs w:val="12"/>
          <w:color w:val="auto"/>
        </w:rPr>
        <w:t>Director since January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2"/>
          <w:szCs w:val="12"/>
          <w:color w:val="auto"/>
        </w:rPr>
        <w:t>Iain Catterall became a member of our Board of Directors in January 2019. Mr. Catterall currently serves as a principal and Chief Executive Officer of Kirkham Capital, an investment business focused on seeding fund managers, a position he has held since founding the firm in January 2009. Prior to that, Mr. Catterall served as the head of equities at Rand Merchant Bank from January 2003 to December 2008 and was also a member of Rand Merchant Bank’s management board and investment committee. He was also a founding member of Thynk Capital, a private equity company, and, prior to that, a founding director of Cadiz Holdings Limited, a Johannesburg Stock Exchange listed financial services company.</w:t>
      </w:r>
    </w:p>
    <w:p>
      <w:pPr>
        <w:spacing w:after="0" w:line="16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Mr. Catterall holds a Bachelor of Commerce degree from the University of Natal (Durban). We believe that Mr. Catterall’s extensive experience in emerging markets, capital markets and financial services brings valuable expertise to our Board of Directors.</w:t>
      </w:r>
    </w:p>
    <w:p>
      <w:pPr>
        <w:spacing w:after="0" w:line="200" w:lineRule="exact"/>
        <w:rPr>
          <w:sz w:val="20"/>
          <w:szCs w:val="20"/>
          <w:color w:val="auto"/>
        </w:rPr>
      </w:pPr>
    </w:p>
    <w:p>
      <w:pPr>
        <w:sectPr>
          <w:pgSz w:w="11900" w:h="16838" w:orient="portrait"/>
          <w:cols w:equalWidth="0" w:num="2">
            <w:col w:w="3640" w:space="720"/>
            <w:col w:w="6900"/>
          </w:cols>
          <w:pgMar w:left="300" w:top="1007" w:right="339" w:bottom="1440" w:gutter="0" w:footer="0" w:header="0"/>
          <w:type w:val="continuous"/>
        </w:sect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007" w:right="339" w:bottom="1440" w:gutter="0" w:footer="0" w:header="0"/>
          <w:type w:val="continuous"/>
        </w:sectPr>
      </w:pPr>
    </w:p>
    <w:bookmarkStart w:id="11" w:name="page12"/>
    <w:bookmarkEnd w:id="11"/>
    <w:p>
      <w:pPr>
        <w:spacing w:after="0"/>
        <w:tabs>
          <w:tab w:leader="none" w:pos="880" w:val="left"/>
        </w:tabs>
        <w:rPr>
          <w:sz w:val="20"/>
          <w:szCs w:val="20"/>
          <w:color w:val="auto"/>
        </w:rPr>
      </w:pPr>
      <w:r>
        <w:rPr>
          <w:rFonts w:ascii="Times New Roman" w:cs="Times New Roman" w:eastAsia="Times New Roman" w:hAnsi="Times New Roman"/>
          <w:sz w:val="12"/>
          <w:szCs w:val="12"/>
          <w:b w:val="1"/>
          <w:bCs w:val="1"/>
          <w:i w:val="1"/>
          <w:iCs w:val="1"/>
          <w:color w:val="auto"/>
        </w:rPr>
        <w:t>David J. Grain  </w:t>
      </w:r>
      <w:r>
        <w:rPr>
          <w:sz w:val="20"/>
          <w:szCs w:val="20"/>
          <w:color w:val="auto"/>
        </w:rPr>
        <w:tab/>
      </w:r>
      <w:r>
        <w:rPr>
          <w:rFonts w:ascii="Times New Roman" w:cs="Times New Roman" w:eastAsia="Times New Roman" w:hAnsi="Times New Roman"/>
          <w:sz w:val="12"/>
          <w:szCs w:val="12"/>
          <w:color w:val="auto"/>
        </w:rPr>
        <w:t xml:space="preserve">           </w:t>
      </w:r>
    </w:p>
    <w:p>
      <w:pPr>
        <w:spacing w:after="0" w:line="145"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12"/>
          <w:szCs w:val="12"/>
          <w:color w:val="auto"/>
        </w:rPr>
        <w:t>Director since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 William Griffin</w:t>
      </w:r>
    </w:p>
    <w:p>
      <w:pPr>
        <w:spacing w:after="0" w:line="145" w:lineRule="exact"/>
        <w:rPr>
          <w:sz w:val="20"/>
          <w:szCs w:val="20"/>
          <w:color w:val="auto"/>
        </w:rPr>
      </w:pPr>
    </w:p>
    <w:p>
      <w:pPr>
        <w:jc w:val="right"/>
        <w:ind w:right="1860"/>
        <w:spacing w:after="0"/>
        <w:rPr>
          <w:sz w:val="20"/>
          <w:szCs w:val="20"/>
          <w:color w:val="auto"/>
        </w:rPr>
      </w:pPr>
      <w:r>
        <w:rPr>
          <w:rFonts w:ascii="Times New Roman" w:cs="Times New Roman" w:eastAsia="Times New Roman" w:hAnsi="Times New Roman"/>
          <w:sz w:val="12"/>
          <w:szCs w:val="12"/>
          <w:color w:val="auto"/>
        </w:rPr>
        <w:t>Director since January 2019</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2"/>
          <w:szCs w:val="12"/>
          <w:color w:val="auto"/>
        </w:rPr>
        <w:t>David Grain became a member of our Board of Directors in January 2019. Mr. Grain currently serves as the Chief Executive Officer of Grain Management, LLC, a private equity firm focused on investments in the media and communications sectors, which he founded in 2007. Prior to founding Grain Management, LLC, from January 2003 to December 2005, Mr. Grain served as the President of Global Signal, Inc. (formerly NYSE: GSL), the largest communication tower owner/operator at the time and an affiliate of Fortress. Prior to joining Global Signal, Inc., from 2000 to 2003, he served as Senior Vice President at AT&amp;T Broadband in New England, a provider of digital video, high speed Internet and digital phone services to more than two million customers in the region. Prior to leading AT&amp;T Broadband’s New England operations, Mr. Grain spent more than a decade in the financial services industry, most recently at Morgan Stanley &amp; Co. LLC, a financial services company, in New York from 1992 to 2000 where he focused primarily on telecommunications, media and technology companies. Mr. Grain serves on the board of directors of The Southern Company (NYSE: SO), a gas and electric utility company, and of Dell Technologies (NYSE: DELL), a multinational technology company, trustee of the Brookings Institution, a member of the advisory council of the National Museum of African American History and Culture, and a member of the board of the Martha’s Vineyard Museum. He is also a Lifetime Member of the Council on Foreign Relations. Mr. Grain earned a Bachelor of Arts degree in English from the College of the Holy Cross and a Master of Business Administration degree from the Amos Tuck School at Dartmouth College. We believe that Mr. Grain’s experience with publicly traded companies as an executive and as a member of the board of directors brings valuable skills and leadership to our Board of Directors.</w:t>
      </w:r>
    </w:p>
    <w:p>
      <w:pPr>
        <w:spacing w:after="0" w:line="16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1"/>
          <w:szCs w:val="11"/>
          <w:color w:val="auto"/>
        </w:rPr>
        <w:t>Bill Griffin became a member of our Board of Directors in January 2019. Mr. Griffin has more than 45 years of experience in financial services. Mr. Griffin currently serves as Executive Chairman of ServiceMac, a privately held financial services company specializing in mortgage sub-servicing. He previously served as Executive Vice President, Enterprise Strategy of ServiceLink, LLC, helping deliver end-to-end solutions to large financial institutions from January 2017 until mid-2019. Prior to that, Mr. Griffin served in various capacities within Fidelity National Financial, Inc. (“Fidelity”) and its affiliates, including as Executive Vice President of Black Knight Financial Services from January 2014 to December 2016 and Executive Vice President of Sales and Marketing for Lender Processing Services from November 2011 to December 2013.</w:t>
      </w:r>
    </w:p>
    <w:p>
      <w:pPr>
        <w:spacing w:after="0" w:line="2"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2"/>
          <w:szCs w:val="12"/>
          <w:color w:val="auto"/>
        </w:rPr>
        <w:t>He also served as President and Chief Executive Officer from 2002 to 2003 when Lender Processing Services was acquired by Fidelity. Mr. Griffin holds a Bachelor of Business Administration degree from The University of Georgia. We believe that Mr. Griffin’s leadership and extensive financial experience bring significant value to our Board of Directors.</w:t>
      </w:r>
    </w:p>
    <w:p>
      <w:pPr>
        <w:spacing w:after="0" w:line="200" w:lineRule="exact"/>
        <w:rPr>
          <w:sz w:val="20"/>
          <w:szCs w:val="20"/>
          <w:color w:val="auto"/>
        </w:rPr>
      </w:pPr>
    </w:p>
    <w:p>
      <w:pPr>
        <w:spacing w:after="0" w:line="31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-2785745</wp:posOffset>
            </wp:positionH>
            <wp:positionV relativeFrom="paragraph">
              <wp:posOffset>39370</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3640" w:space="720"/>
            <w:col w:w="6920"/>
          </w:cols>
          <w:pgMar w:left="300" w:top="584"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b w:val="1"/>
          <w:bCs w:val="1"/>
          <w:i w:val="1"/>
          <w:iCs w:val="1"/>
          <w:color w:val="auto"/>
        </w:rPr>
        <w:t>Timothy W. Jay</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Director since March 2023</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Charles M. Sledge</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Director since April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Randal A. Nardone</w:t>
      </w:r>
    </w:p>
    <w:p>
      <w:pPr>
        <w:spacing w:after="0" w:line="145" w:lineRule="exact"/>
        <w:rPr>
          <w:sz w:val="20"/>
          <w:szCs w:val="20"/>
          <w:color w:val="auto"/>
        </w:rPr>
      </w:pPr>
    </w:p>
    <w:p>
      <w:pPr>
        <w:jc w:val="right"/>
        <w:ind w:right="1880"/>
        <w:spacing w:after="0"/>
        <w:rPr>
          <w:sz w:val="20"/>
          <w:szCs w:val="20"/>
          <w:color w:val="auto"/>
        </w:rPr>
      </w:pPr>
      <w:r>
        <w:rPr>
          <w:rFonts w:ascii="Times New Roman" w:cs="Times New Roman" w:eastAsia="Times New Roman" w:hAnsi="Times New Roman"/>
          <w:sz w:val="12"/>
          <w:szCs w:val="12"/>
          <w:color w:val="auto"/>
        </w:rPr>
        <w:t>Director since August 2018</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2"/>
          <w:szCs w:val="12"/>
          <w:color w:val="auto"/>
        </w:rPr>
        <w:t>Timothy W. Jay became a member of our Board of Directors in March 2023. Mr. Jay has worked as Head of Government Bond Sales and Rates Trader at CRT Capital Group LLC, a financial services firm, from 2009 until his retirement in 2016. From 2005 to 2006, he served as Co-Managing Partner at Rockridge Advisors LLC, a multi-strategy hedge fund. Prior to 2005, he worked for Lehman Brothers as a Government Bond Trader, Head of Global Government Bond Business and a Liquid Markets Head Trader. During the same time, from 1996 to 2006, he served as both Chairman and Vice Chairman of the Treasury Borrowing Advisory Committee, which regularly advised the U.S. Treasury and the Federal Reserve Board on policy. He also served as a director of Intrawest Holdings from 2013 to 2017. We believe that Mr. Jay's significant knowledge of real estate and operational and financial development brings significant value to our Board of Directors.</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2"/>
          <w:szCs w:val="12"/>
          <w:color w:val="auto"/>
        </w:rPr>
        <w:t>Charles M. Sledge became a member of our Board of Directors in April 2025. Mr. Sledge currently serves as the Non-Executive Chairman of the board of directors of Noble Holding Corporation plc a position he has held since February 2021. Mr. Sledge has also served as a member of the board of directors of Talos Energy Inc. since May 2018 and currently chairs the Audit Committee of Talos Energy Inc. Additionally, he currently serves on the board of Weatherford International plc, where he serves as chairman since June 2018. Mr. Sledge previously served on the board of directors of Vine Energy, Inc. (which was acquired by Chesapeake Energy Corporation). Mr. Sledge previously served as the Chief Financial Officer of Cameron International Corporation, an oilfield services company, from 2008 until its sale to Schlumberger Limited in 2016. Prior to that, he served as the Corporate Controller of Cameron International Corporation from 2001 until 2008. Mr. Sledge received his Bachelor of Science in Accounting at Louisiana State University and is a graduate of the Advanced Management Program at Harvard University. We believe that Mr. Sledge's significant knowledge of the energy space and extensive financial experience will bring significant value to our Board of Directors.</w:t>
      </w:r>
    </w:p>
    <w:p>
      <w:pPr>
        <w:spacing w:after="0" w:line="3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2"/>
          <w:szCs w:val="12"/>
          <w:color w:val="auto"/>
        </w:rPr>
        <w:t>Randal Nardone has been a member of our Board of Directors since August 2018. A co-founder of Fortress in May 1998, he was also a member of its management committee from May 1998 to May 2024, as well as a member of its board of directors from November 2006 to May 2024.. Mr. Nardone served as Fortress’s Chief Executive Officer from July 2013 through December 2017, after serving as its Interim Chief Executive Officer from December 2011 to July 2013. Mr. Nardone served on the board of directors of Eurocastle Investment Limited from August 2006 to August 2022. Prior to founding Fortress in 1998, Mr. Nardone was a principal of BlackRock Financial Management, Inc. Prior to joining BlackRock Financial Management, Inc., Mr. Nardone was a partner and a member of the executive committee at the law firm of Thacher Proffitt &amp; Wood. Mr. Nardone received a Bachelor of Arts from the University of Connecticut and received a Juris Doctor from Boston University School of Law. We believe that Mr. Nardone’s leadership, management experience and experience with corporate and securities law bring valuable experience to our Board of Directors.</w:t>
      </w:r>
    </w:p>
    <w:p>
      <w:pPr>
        <w:spacing w:after="0" w:line="200" w:lineRule="exact"/>
        <w:rPr>
          <w:sz w:val="20"/>
          <w:szCs w:val="20"/>
          <w:color w:val="auto"/>
        </w:rPr>
      </w:pPr>
    </w:p>
    <w:p>
      <w:pPr>
        <w:spacing w:after="0" w:line="3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-2785745</wp:posOffset>
            </wp:positionH>
            <wp:positionV relativeFrom="paragraph">
              <wp:posOffset>39370</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3640" w:space="720"/>
            <w:col w:w="6920"/>
          </w:cols>
          <w:pgMar w:left="300" w:top="584" w:right="31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Katherine E. Wanner</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Director since January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Determination of Director Independence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2"/>
          <w:szCs w:val="12"/>
          <w:color w:val="auto"/>
        </w:rPr>
        <w:t>Katherine Wanner became a member of our Board of Directors in January 2019. From 1993 to 1997, Ms. Wanner served in various roles within the finance, communications and business development groups at Brinson Partners Inc. and UBS Global Asset Management, where she was responsible for the revenue cycle, statistical analysis and market research, and later joined the private equity group in 1998. In 2001, Ms. Wanner was a founding Partner at Adams Street Partners, LLC, a global private equity firm with over $53 billion in assets under its management and offices in 12 locations around the world, and the successor firm to Brinson Partners Inc. and UBS Global Asset Management. From 2007 until her retirement in 2015, Ms. Wanner managed Adams Street Partners’ US Primary investment team and served on the firm’s Global Primary Investment Committee, which was responsible for sourcing, analyzing and monitoring investments in private equity partnerships, implementing strategy and approving all primary fund investments. Post Ms. Wanner’s retirement from Adams Street Partners in 2015, Ms. Wanner has served as an Operating Partner at Abundant Venture Partners from 2016 to April 2018. Since April 2018 and through December 2019, Ms. Wanner served as an Advisor at Abundant Venture Partners. Ms. Wanner is currently a Senior Advisor and was a founding partner in 2020 at Fairway Capital Management, an institutional venture capital investment manager. Since 1998, Ms. Wanner has served on many private equity and venture capital advisory boards and completed many primary investments across several sectors, and was responsible for managing relationships with several of the firm’s United States based venture, energy focused and special situation managers. Additionally, from 1989 to 1993, Ms. Wanner gained experience in statistical modeling, reporting, tracking and analysis as a Senior Financial Analyst at Frontier Risk Management, Range Wise, Inc. and Morgan Stanley &amp; Co. LLC. Ms. Wanner received a Bachelor of Science in Finance from Binghamton University and a Master of Business Administration from the Kellogg School of Management at Northwestern University. We believe Ms. Wanner’s extensive financial experience in business investments and asset management brings significant value to our Board of Directors.</w:t>
      </w:r>
    </w:p>
    <w:p>
      <w:pPr>
        <w:spacing w:after="0" w:line="497" w:lineRule="exact"/>
        <w:rPr>
          <w:sz w:val="20"/>
          <w:szCs w:val="20"/>
          <w:color w:val="auto"/>
        </w:rPr>
      </w:pPr>
    </w:p>
    <w:p>
      <w:pPr>
        <w:sectPr>
          <w:pgSz w:w="11900" w:h="16838" w:orient="portrait"/>
          <w:cols w:equalWidth="0" w:num="2">
            <w:col w:w="3640" w:space="720"/>
            <w:col w:w="6900"/>
          </w:cols>
          <w:pgMar w:left="300" w:top="1440" w:right="339" w:bottom="1440" w:gutter="0" w:footer="0" w:header="0"/>
        </w:sect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If required under the listing standards of the Nasdaq Stock Market LLC (“Nasdaq”), the Board of Directors shall be comprised of a majority of directors who qualify as independent directors (“Independent Directors”) under the listing standards of Nasdaq.</w:t>
      </w:r>
    </w:p>
    <w:p>
      <w:pPr>
        <w:spacing w:after="0" w:line="111"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Pursuant to the Company’s Corporate Governance Guidelines, the Board of Directors must be comprised of a majority of directors who qualify as Independent Directors. The Board of Directors review annually the relationships that each director has with the Company (either directly or as a partner, shareholder or officer of an organization that has a relationship with the Company). Following such annual review, only those directors who the Board of Directors affirmatively determines satisfy the applicable independence requirements will be considered Independent Directors. The Board of Directors may adopt and disclose categorical standards to assist it in determining director independence. In the event that a director becomes aware of any change in circumstances that may result in such director no longer being considered independent under the listing standards of Nasdaq or under applicable law, the director must promptly inform the Chair of the Nominating and Corporate Governance Committee if such committee is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440" w:right="339" w:bottom="1440" w:gutter="0" w:footer="0" w:header="0"/>
          <w:type w:val="continuous"/>
        </w:sectPr>
      </w:pPr>
    </w:p>
    <w:bookmarkStart w:id="14" w:name="page15"/>
    <w:bookmarkEnd w:id="14"/>
    <w:p>
      <w:pPr>
        <w:ind w:right="160"/>
        <w:spacing w:after="0" w:line="279" w:lineRule="auto"/>
        <w:rPr>
          <w:sz w:val="20"/>
          <w:szCs w:val="20"/>
          <w:color w:val="auto"/>
        </w:rPr>
      </w:pPr>
      <w:r>
        <w:rPr>
          <w:rFonts w:ascii="Times New Roman" w:cs="Times New Roman" w:eastAsia="Times New Roman" w:hAnsi="Times New Roman"/>
          <w:sz w:val="12"/>
          <w:szCs w:val="12"/>
          <w:color w:val="auto"/>
        </w:rPr>
        <w:t>established. Our Board of Directors determined that Messrs. Griffin, Sledge, Grain, Catterall, Jay and Ms. Wanner qualify as Independent Directors. Our Board of Directors also previously determined that Mr. Mack, who retired as a director of the Company on April 23, 2025, qualified as an Independent Director.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Statement on Corporate Governance</w:t>
      </w:r>
    </w:p>
    <w:p>
      <w:pPr>
        <w:spacing w:after="0" w:line="154"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We emphasize the importance of professional business conduct and ethics through our corporate governance initiatives. Our Board of Directors consists of a majority of independent directors under the corporate governance standards of Nasdaq. We have adopted Corporate Governance Guidelines and a Code of Business Conduct and Ethics (the “Code of Conduct”), which delineate our standards for our employees, officers and directors. We make available, free of charge through a link on our website, our annual reports on Form 10-K, quarterly reports on Form 10-Q, current reports on Form 8-K, and amendments to such reports, if any, as filed with the SEC as soon as reasonably practicable after such filing. Our website also contains our Code of Conduct, Corporate Governance Guidelines, and the charters of the Audit Committee and Compensation Committee of our Board of Directors. Our website address is www.newfortressenergy.com. You may also obtain these documents by writing the Company at 111 W. 19th Street, 8th Floor, New York, New York 10011, Attention: Investor Relations.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Sustainability</w:t>
      </w:r>
    </w:p>
    <w:p>
      <w:pPr>
        <w:spacing w:after="0" w:line="154" w:lineRule="exact"/>
        <w:rPr>
          <w:sz w:val="20"/>
          <w:szCs w:val="20"/>
          <w:color w:val="auto"/>
        </w:rPr>
      </w:pPr>
    </w:p>
    <w:p>
      <w:pPr>
        <w:ind w:right="260" w:firstLine="216"/>
        <w:spacing w:after="0" w:line="265" w:lineRule="auto"/>
        <w:rPr>
          <w:sz w:val="20"/>
          <w:szCs w:val="20"/>
          <w:color w:val="auto"/>
        </w:rPr>
      </w:pPr>
      <w:r>
        <w:rPr>
          <w:rFonts w:ascii="Times New Roman" w:cs="Times New Roman" w:eastAsia="Times New Roman" w:hAnsi="Times New Roman"/>
          <w:sz w:val="12"/>
          <w:szCs w:val="12"/>
          <w:color w:val="auto"/>
        </w:rPr>
        <w:t>As part of our strategy, we are focused on supporting the transition to a low-carbon economy and aim to provide cleaner, sustainable energy solutions around the world by leveraging our expertise and business and financing relationships, as well as our access to capital. We highlighted certain of our current sustainability solutions and investments in our Form 10-K for the year ended December 31, 2024, and we expect to continue to explore additional sustainability-related opportunities.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Code of Conduct</w:t>
      </w:r>
    </w:p>
    <w:p>
      <w:pPr>
        <w:spacing w:after="0" w:line="154"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As mentioned above, the Board of Directors has adopted the Code of Conduct, which is available on our website, that applies to all of our officers, directors and employees, including our principal executive officer and principal financial officer. The purpose of the Code of Conduct is to promote, among other things:</w:t>
      </w:r>
    </w:p>
    <w:p>
      <w:pPr>
        <w:spacing w:after="0" w:line="111" w:lineRule="exact"/>
        <w:rPr>
          <w:sz w:val="20"/>
          <w:szCs w:val="20"/>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honest and ethical conduct;</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maintenance of accurate financial records and adherence to applicable accounting rules and policies;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applicable governmental laws, rules and regulations;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accountability for adherence to the Code of Conduct and the reporting of violations thereof.</w:t>
      </w:r>
    </w:p>
    <w:p>
      <w:pPr>
        <w:spacing w:after="0" w:line="150" w:lineRule="exact"/>
        <w:rPr>
          <w:sz w:val="20"/>
          <w:szCs w:val="20"/>
          <w:color w:val="auto"/>
        </w:rPr>
      </w:pPr>
    </w:p>
    <w:p>
      <w:pPr>
        <w:ind w:right="300" w:firstLine="216"/>
        <w:spacing w:after="0" w:line="279" w:lineRule="auto"/>
        <w:rPr>
          <w:sz w:val="20"/>
          <w:szCs w:val="20"/>
          <w:color w:val="auto"/>
        </w:rPr>
      </w:pPr>
      <w:r>
        <w:rPr>
          <w:rFonts w:ascii="Times New Roman" w:cs="Times New Roman" w:eastAsia="Times New Roman" w:hAnsi="Times New Roman"/>
          <w:sz w:val="12"/>
          <w:szCs w:val="12"/>
          <w:color w:val="auto"/>
        </w:rPr>
        <w:t>Our Company intends to disclose any changes in or waivers from our Code of Conduct, as required by applicable U.S. federal securities laws and the corporate governance rules of Nasdaq, by posting such information on our website at the address and location specified above.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Insider Trading Policies and Procedures</w:t>
      </w:r>
    </w:p>
    <w:p>
      <w:pPr>
        <w:spacing w:after="0" w:line="154" w:lineRule="exact"/>
        <w:rPr>
          <w:sz w:val="20"/>
          <w:szCs w:val="20"/>
          <w:color w:val="auto"/>
        </w:rPr>
      </w:pPr>
    </w:p>
    <w:p>
      <w:pPr>
        <w:jc w:val="both"/>
        <w:ind w:right="80" w:firstLine="216"/>
        <w:spacing w:after="0" w:line="265" w:lineRule="auto"/>
        <w:rPr>
          <w:sz w:val="20"/>
          <w:szCs w:val="20"/>
          <w:color w:val="auto"/>
        </w:rPr>
      </w:pPr>
      <w:r>
        <w:rPr>
          <w:rFonts w:ascii="Times New Roman" w:cs="Times New Roman" w:eastAsia="Times New Roman" w:hAnsi="Times New Roman"/>
          <w:sz w:val="12"/>
          <w:szCs w:val="12"/>
          <w:color w:val="auto"/>
        </w:rPr>
        <w:t>The Company has adopted an insider trading policy that governs the purchase, sale and other dispositions of our securities by our directors, officers and employees, which we believe is reasonably designed to promote compliance with applicable insider trading laws, rules and regulations and listing standards. A copy of our insider trading policy is filed as Exhibit 19.1 to our Annual Report on Form 10-K for the year ended December 31, 2024. In addition, with regard to the Company’s trading in its own securities, it is the Company’s policy to comply with the federal securities laws and the applicable exchange listing requirements.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Leadership Structure</w:t>
      </w:r>
    </w:p>
    <w:p>
      <w:pPr>
        <w:spacing w:after="0" w:line="154" w:lineRule="exact"/>
        <w:rPr>
          <w:sz w:val="20"/>
          <w:szCs w:val="20"/>
          <w:color w:val="auto"/>
        </w:rPr>
      </w:pPr>
    </w:p>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The Company does not have a policy to separate the roles of Chief Executive Officer and Chairman of the Board of Directors, as the Board of Directors believes it is in the best interests of the Company to make that determination based on the position and direction of the Company and the membership of the Board. Mr. Edens has served as both the Chairman of our Board of Directors and Chief Executive Officer since August 2018. The Board of Directors believes that having Mr. Edens serve as both Chief Executive Officer and Chairman is an appropriate, effective and efficient leadership structure, and has determined that combining the Chief Executive Officer and Chairman roles provides for clear accountability and leadership responsibility, and facilitates effective decision-</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05" w:right="339" w:bottom="1440" w:gutter="0" w:footer="0" w:header="0"/>
        </w:sectPr>
      </w:pPr>
    </w:p>
    <w:bookmarkStart w:id="15" w:name="page16"/>
    <w:bookmarkEnd w:id="15"/>
    <w:p>
      <w:pPr>
        <w:ind w:right="40"/>
        <w:spacing w:after="0" w:line="279" w:lineRule="auto"/>
        <w:rPr>
          <w:sz w:val="20"/>
          <w:szCs w:val="20"/>
          <w:color w:val="auto"/>
        </w:rPr>
      </w:pPr>
      <w:r>
        <w:rPr>
          <w:rFonts w:ascii="Times New Roman" w:cs="Times New Roman" w:eastAsia="Times New Roman" w:hAnsi="Times New Roman"/>
          <w:sz w:val="12"/>
          <w:szCs w:val="12"/>
          <w:color w:val="auto"/>
        </w:rPr>
        <w:t>making and a cohesive corporate strategy. The Board of Directors periodically reviews its leadership structure. The Company does not have a lead independent director; however, an independent director may preside over any executive sessions.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Board and Its Committees</w:t>
      </w:r>
    </w:p>
    <w:p>
      <w:pPr>
        <w:spacing w:after="0" w:line="154" w:lineRule="exact"/>
        <w:rPr>
          <w:sz w:val="20"/>
          <w:szCs w:val="20"/>
          <w:color w:val="auto"/>
        </w:rPr>
      </w:pPr>
    </w:p>
    <w:p>
      <w:pPr>
        <w:ind w:firstLine="216"/>
        <w:spacing w:after="0" w:line="254" w:lineRule="auto"/>
        <w:rPr>
          <w:sz w:val="20"/>
          <w:szCs w:val="20"/>
          <w:color w:val="auto"/>
        </w:rPr>
      </w:pPr>
      <w:r>
        <w:rPr>
          <w:rFonts w:ascii="Times New Roman" w:cs="Times New Roman" w:eastAsia="Times New Roman" w:hAnsi="Times New Roman"/>
          <w:sz w:val="12"/>
          <w:szCs w:val="12"/>
          <w:color w:val="auto"/>
        </w:rPr>
        <w:t>Our Certificate of Incorporation provides that the number of directors that constitute the whole Board of Directors shall be determined from time to time by resolution adopted by a majority of the Board of Directors then in office (subject to those certain exceptions in the Bylaws and the Shareholders’ Agreement). Our Board of Directors currently consists of eight directors. Our Board of Directors is divided into three classes of directors, with each class as equal in number as possible, serving staggered three-year terms. Class I, Class II and Class III directors will serve until our annual meeting in 2026, 2027 and 2025, respectively. Mr. Sledge and Ms. Wanner are assigned to Class I; Messrs. Grain, Griffin and Jay are assigned to Class II; and Messrs. Edens, Nardone and Catterall are assigned to Class III. At each succeeding annual meeting, directors will be elected to succeed the class of directors whose terms have expired. This classification of the Board of Directors could have the effect of increasing the length of time necessary to change the composition of a majority of the Board of Directors. In general, at least two annual meetings will be necessary to effect a change in a majority of the members of the Board of Directors. All officers serve at the discretion of the Chief Executive Officer or the Board of Directors. Neither our Certificate of Incorporation nor our Bylaws provide for cumulative voting in the election of directors, which means that the holders of a majority of our issued and outstanding shares of Common Stock may elect all of the directors standing for election, and the holders of the remaining shares of Common Stock will not be able to elect any directors.</w:t>
      </w:r>
    </w:p>
    <w:p>
      <w:pPr>
        <w:spacing w:after="0" w:line="128" w:lineRule="exact"/>
        <w:rPr>
          <w:sz w:val="20"/>
          <w:szCs w:val="20"/>
          <w:color w:val="auto"/>
        </w:rPr>
      </w:pPr>
    </w:p>
    <w:p>
      <w:pPr>
        <w:ind w:right="180" w:firstLine="216"/>
        <w:spacing w:after="0" w:line="260" w:lineRule="auto"/>
        <w:rPr>
          <w:sz w:val="20"/>
          <w:szCs w:val="20"/>
          <w:color w:val="auto"/>
        </w:rPr>
      </w:pPr>
      <w:r>
        <w:rPr>
          <w:rFonts w:ascii="Times New Roman" w:cs="Times New Roman" w:eastAsia="Times New Roman" w:hAnsi="Times New Roman"/>
          <w:sz w:val="12"/>
          <w:szCs w:val="12"/>
          <w:color w:val="auto"/>
        </w:rPr>
        <w:t>During the year ended December 31, 2024, our Board of Directors held nine meetings. No person then serving as a director attended fewer than 75 percent of all meetings of our Board of Directors and the committees on which such director served. The Board of Directors has three standing committees: the Audit Committee, the Compensation Committee and the Regulatory Compliance Committee. During 2024, the Audit Committee met four times, the Compensation Committee met one time and the Regulatory Compliance Committee met four times. Although director attendance at the Company’s annual meeting each year is encouraged, the Company does not have an attendance policy. None of the persons serving then as our directors attended our annual meeting of stockholders in 2024.</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Audit Committee</w:t>
      </w:r>
    </w:p>
    <w:p>
      <w:pPr>
        <w:spacing w:after="0" w:line="154"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We are required to have an audit committee of at least three members, and all of its members are required to meet the independence and experience standards established by Nasdaq and the Exchange Act. We have established an audit committee compliant with Nasdaq and SEC rules, whereby Ms. Wanner and Messrs. Grain and Griffin serve as members of such committee with Ms. Wanner serving as the chairperson. SEC rules also require that a public company disclose whether or not its audit committee has at least one “audit committee financial expert” as a member. Ms. Wanner satisfies the definition of “audit committee financial expert.” As required by the SEC rules and Nasdaq listing standards, our Board of Directors have affirmatively determined that each of Messrs. Grain and Griffin and Ms. Wanner meet the definition of “independent director.” We adopted an audit committee charter defining the committee’s primary duties in a manner consistent with the rules of the SEC and Nasdaq standards. You can find a copy of our audit committee charter on the Investor Relations section of the NFE website (www.newfortressenergy.com).</w:t>
      </w:r>
    </w:p>
    <w:p>
      <w:pPr>
        <w:spacing w:after="0" w:line="125"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The audit committee assists the Board of Directors in its oversight of the integrity of our financial statements and our compliance with legal and regulatory requirements and company policies and controls. The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has been given unrestricted access to the audit committee and our management.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Risk Oversight</w:t>
      </w:r>
    </w:p>
    <w:p>
      <w:pPr>
        <w:spacing w:after="0" w:line="154"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Company’s risk management is overseen by the Chief Executive Officer, who receives reports directly from employees and individuals who perform services for the Company. Material risks are identified and prioritized by management, and material risks are periodically discussed with the Board of Directors. The Board of Directors regularly reviews information regarding the Company’s credit, liquidity and operations, including risks and contingencies associated with each area. In addition to the formal compliance program, the Board of Directors encourages management to promote a corporate culture that incorporates risk management into the Company’s corporate strategy and day-to-day business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Compensation Committee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16" w:name="page17"/>
    <w:bookmarkEnd w:id="16"/>
    <w:p>
      <w:pPr>
        <w:ind w:right="60" w:firstLine="216"/>
        <w:spacing w:after="0" w:line="260" w:lineRule="auto"/>
        <w:rPr>
          <w:sz w:val="20"/>
          <w:szCs w:val="20"/>
          <w:color w:val="auto"/>
        </w:rPr>
      </w:pPr>
      <w:r>
        <w:rPr>
          <w:rFonts w:ascii="Times New Roman" w:cs="Times New Roman" w:eastAsia="Times New Roman" w:hAnsi="Times New Roman"/>
          <w:sz w:val="12"/>
          <w:szCs w:val="12"/>
          <w:color w:val="auto"/>
        </w:rPr>
        <w:t>Because we were a “controlled company” within the meaning of Nasdaq corporate governance standards until October 1, 2024, we were not required to have a compensation committee. However, even as a controlled company, we established a compensation committee to ease the administrative burden on the full Board of Directors. So long as we continued to be a controlled company, our compensation committee was not required to be comprised solely of independent directors. As such, Messrs. Edens and Nardone served as the members of our compensation committee until October 1, 2024. As of October 1, 2024, we have established a compensation committee compliant with Nasdaq and SEC rules for non-controlled companies, whereby Messrs. Grain, Griffin and Jay serve as members of such committee.</w:t>
      </w:r>
    </w:p>
    <w:p>
      <w:pPr>
        <w:spacing w:after="0" w:line="122" w:lineRule="exact"/>
        <w:rPr>
          <w:sz w:val="20"/>
          <w:szCs w:val="20"/>
          <w:color w:val="auto"/>
        </w:rPr>
      </w:pPr>
    </w:p>
    <w:p>
      <w:pPr>
        <w:jc w:val="both"/>
        <w:ind w:right="200" w:firstLine="216"/>
        <w:spacing w:after="0" w:line="265" w:lineRule="auto"/>
        <w:rPr>
          <w:sz w:val="20"/>
          <w:szCs w:val="20"/>
          <w:color w:val="auto"/>
        </w:rPr>
      </w:pPr>
      <w:r>
        <w:rPr>
          <w:rFonts w:ascii="Times New Roman" w:cs="Times New Roman" w:eastAsia="Times New Roman" w:hAnsi="Times New Roman"/>
          <w:sz w:val="12"/>
          <w:szCs w:val="12"/>
          <w:color w:val="auto"/>
        </w:rPr>
        <w:t>The compensation committee oversees our compensation and employee benefit plans and practices, including our executive compensation and equity-based plans, and make recommendations to the Board of Directors regarding director compensation. We adopted a compensation committee charter defining the committee’s primary duties and authority. You can find a copy of our compensation committee charter on the Investor Relations section of the NFE website (www.newfortressenergy.com).</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Nominating and Corporate Governance Committee</w:t>
      </w:r>
    </w:p>
    <w:p>
      <w:pPr>
        <w:spacing w:after="0" w:line="154" w:lineRule="exact"/>
        <w:rPr>
          <w:sz w:val="20"/>
          <w:szCs w:val="20"/>
          <w:color w:val="auto"/>
        </w:rPr>
      </w:pPr>
    </w:p>
    <w:p>
      <w:pPr>
        <w:ind w:right="600" w:firstLine="216"/>
        <w:spacing w:after="0" w:line="279" w:lineRule="auto"/>
        <w:rPr>
          <w:sz w:val="20"/>
          <w:szCs w:val="20"/>
          <w:color w:val="auto"/>
        </w:rPr>
      </w:pPr>
      <w:r>
        <w:rPr>
          <w:rFonts w:ascii="Times New Roman" w:cs="Times New Roman" w:eastAsia="Times New Roman" w:hAnsi="Times New Roman"/>
          <w:sz w:val="12"/>
          <w:szCs w:val="12"/>
          <w:color w:val="auto"/>
        </w:rPr>
        <w:t>Under Nasdaq corporate governance standards, we are not required to, and do not currently, have a nominating and corporate governance committee. See “Certain Relationships and Related Transactions—Shareholders’ Agreement” for additional information about our significant shareholders' ability to designate certain members of our Board.</w:t>
      </w:r>
    </w:p>
    <w:p>
      <w:pPr>
        <w:spacing w:after="0" w:line="111" w:lineRule="exact"/>
        <w:rPr>
          <w:sz w:val="20"/>
          <w:szCs w:val="20"/>
          <w:color w:val="auto"/>
        </w:rPr>
      </w:pPr>
    </w:p>
    <w:p>
      <w:pPr>
        <w:ind w:right="40" w:firstLine="216"/>
        <w:spacing w:after="0" w:line="260" w:lineRule="auto"/>
        <w:rPr>
          <w:sz w:val="20"/>
          <w:szCs w:val="20"/>
          <w:color w:val="auto"/>
        </w:rPr>
      </w:pPr>
      <w:r>
        <w:rPr>
          <w:rFonts w:ascii="Times New Roman" w:cs="Times New Roman" w:eastAsia="Times New Roman" w:hAnsi="Times New Roman"/>
          <w:sz w:val="12"/>
          <w:szCs w:val="12"/>
          <w:color w:val="auto"/>
        </w:rPr>
        <w:t>If we determine to establish a nominating and corporate governance committee, we anticipate that it would consist of three directors who will be “independent” under the rules of the SEC and Nasdaq. This committee would identify, evaluate and recommend qualified nominees to serve on our Board of Directors, develop and oversee our internal corporate governance processes and maintain a management succession plan. Upon formation of a nominating and corporate governance committee, we would expect to adopt a nominating and corporate governance committee charter defining the committee’s primary duties in a manner consistent with the rules of the SEC and Nasdaq or market standards.</w:t>
      </w:r>
    </w:p>
    <w:p>
      <w:pPr>
        <w:spacing w:after="0" w:line="122" w:lineRule="exact"/>
        <w:rPr>
          <w:sz w:val="20"/>
          <w:szCs w:val="20"/>
          <w:color w:val="auto"/>
        </w:rPr>
      </w:pPr>
    </w:p>
    <w:p>
      <w:pPr>
        <w:ind w:right="280" w:firstLine="216"/>
        <w:spacing w:after="0" w:line="265" w:lineRule="auto"/>
        <w:rPr>
          <w:sz w:val="20"/>
          <w:szCs w:val="20"/>
          <w:color w:val="auto"/>
        </w:rPr>
      </w:pPr>
      <w:r>
        <w:rPr>
          <w:rFonts w:ascii="Times New Roman" w:cs="Times New Roman" w:eastAsia="Times New Roman" w:hAnsi="Times New Roman"/>
          <w:sz w:val="12"/>
          <w:szCs w:val="12"/>
          <w:color w:val="auto"/>
        </w:rPr>
        <w:t>Our Bylaws provides certain procedures that a stockholder must follow to nominate persons for election to the Board of Directors. Nominations for director at an annual stockholder meeting must be submitted in writing to the Company’s Secretary at New Fortress Energy Inc., 111 W. 19th Street, 8th Floor, New York, New York 10011. The Secretary must receive the notice of a stockholder’s intention to introduce a nomination at an annual stockholder meeting (together with certain required information set forth in our Bylaws) within the timeframes set forth below under “Advance Notice for Stockholder Nominations and Proposals for 2026 Annual Meeting.”</w:t>
      </w:r>
    </w:p>
    <w:p>
      <w:pPr>
        <w:spacing w:after="0" w:line="119"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The Board of Directors is responsible for nominating members for election to the Board and for filling vacancies on the Board that may occur between annual meetings of stockholders. The Board believes that the qualifications for serving as a director of the Company are, taking into account such person’s familiarity with the Company, possession of such knowledge, experience, skills, expertise and integrity as would enhance the Board’s ability to manage and direct the affairs and business of the Company, including, when applicable, the ability of committees of the Board to fulfill their duties and/or to satisfy any independence requirements imposed by law, regulation or Nasdaq rule.</w:t>
      </w:r>
    </w:p>
    <w:p>
      <w:pPr>
        <w:spacing w:after="0" w:line="119" w:lineRule="exact"/>
        <w:rPr>
          <w:sz w:val="20"/>
          <w:szCs w:val="20"/>
          <w:color w:val="auto"/>
        </w:rPr>
      </w:pPr>
    </w:p>
    <w:p>
      <w:pPr>
        <w:ind w:right="80" w:firstLine="216"/>
        <w:spacing w:after="0" w:line="257" w:lineRule="auto"/>
        <w:rPr>
          <w:sz w:val="20"/>
          <w:szCs w:val="20"/>
          <w:color w:val="auto"/>
        </w:rPr>
      </w:pPr>
      <w:r>
        <w:rPr>
          <w:rFonts w:ascii="Times New Roman" w:cs="Times New Roman" w:eastAsia="Times New Roman" w:hAnsi="Times New Roman"/>
          <w:sz w:val="12"/>
          <w:szCs w:val="12"/>
          <w:color w:val="auto"/>
        </w:rPr>
        <w:t>In addition to considering a director-candidate’s background and accomplishments, the process for identifying and evaluating all nominees includes a review of the current composition of the Board of Directors and the evolving needs of our business. The Board will identify potential nominees by asking current directors and executive officers to notify the Board if they become aware of suitable candidates. The Board also may, from time to time, engage firms that specialize in identifying director candidates. As described above, the Board will also consider candidates recommended by stockholders. Our evaluation of nominees does not necessarily vary depending on whether or not the nominee was nominated by a stockholder. In considering candidates submitted by stockholders, the Board may take into consideration the number of shares of Common Stock held by the recommending stockholder and the length of time that such shares have been held. We do not have a formal policy with regard to identifying director nominees, but the Board strives to nominate individuals with a variety of perspectives and complementary skills.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Communications with the Board of Directors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Stockholders or other interested parties can contact any director, any committee of the Board of Directors or our independent directors as a group, by writing to them care of: General Counsel and Secretary, 111 W. 19th Street,</w:t>
      </w:r>
    </w:p>
    <w:p>
      <w:pPr>
        <w:spacing w:after="0" w:line="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8th Floor, New York, New York 10011. All such communications will be forwarded to the appropriate member(s) of the Board of Directors. Any complaints relating to the Company’s accounting, internal accounting controls or auditing matters will also be referred to members of the Audit Committee.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5" w:right="299" w:bottom="1440" w:gutter="0" w:footer="0" w:header="0"/>
        </w:sectPr>
      </w:pPr>
    </w:p>
    <w:bookmarkStart w:id="17" w:name="page18"/>
    <w:bookmarkEnd w:id="17"/>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39370</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REPORT OF THE AUDIT COMMITTEE</w:t>
      </w:r>
    </w:p>
    <w:p>
      <w:pPr>
        <w:spacing w:after="0" w:line="152" w:lineRule="exact"/>
        <w:rPr>
          <w:sz w:val="20"/>
          <w:szCs w:val="20"/>
          <w:color w:val="auto"/>
        </w:rPr>
      </w:pPr>
    </w:p>
    <w:p>
      <w:pPr>
        <w:ind w:right="2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In accordance with and to the extent permitted by the rules of the SEC, the information contained in the following Report of the Audit Committee shall not be incorporated by reference into any of the Company’s future filings made under the Exchange Act, and shall not be deemed to be “soliciting material” or to be “filed” under the Exchange Act or the Securities Act of 1933, as amended (the “Securities Act”).</w:t>
      </w:r>
    </w:p>
    <w:p>
      <w:pPr>
        <w:spacing w:after="0" w:line="109" w:lineRule="exact"/>
        <w:rPr>
          <w:sz w:val="20"/>
          <w:szCs w:val="20"/>
          <w:color w:val="auto"/>
        </w:rPr>
      </w:pPr>
    </w:p>
    <w:p>
      <w:pPr>
        <w:ind w:right="480" w:firstLine="216"/>
        <w:spacing w:after="0" w:line="279" w:lineRule="auto"/>
        <w:rPr>
          <w:sz w:val="20"/>
          <w:szCs w:val="20"/>
          <w:color w:val="auto"/>
        </w:rPr>
      </w:pPr>
      <w:r>
        <w:rPr>
          <w:rFonts w:ascii="Times New Roman" w:cs="Times New Roman" w:eastAsia="Times New Roman" w:hAnsi="Times New Roman"/>
          <w:sz w:val="12"/>
          <w:szCs w:val="12"/>
          <w:color w:val="auto"/>
        </w:rPr>
        <w:t>The Audit Committee operates under a written charter approved by the Board of Directors, consistent with the corporate governance rules issued by the SEC and Nasdaq. The Audit Committee’s charter is available on the Company’s website at www.newfortressenergy.com. The members of the Audit Committee hold executive sessions during the course of the year.</w:t>
      </w:r>
    </w:p>
    <w:p>
      <w:pPr>
        <w:spacing w:after="0" w:line="111" w:lineRule="exact"/>
        <w:rPr>
          <w:sz w:val="20"/>
          <w:szCs w:val="20"/>
          <w:color w:val="auto"/>
        </w:rPr>
      </w:pPr>
    </w:p>
    <w:p>
      <w:pPr>
        <w:ind w:firstLine="216"/>
        <w:spacing w:after="0" w:line="260" w:lineRule="auto"/>
        <w:rPr>
          <w:sz w:val="20"/>
          <w:szCs w:val="20"/>
          <w:color w:val="auto"/>
        </w:rPr>
      </w:pPr>
      <w:r>
        <w:rPr>
          <w:rFonts w:ascii="Times New Roman" w:cs="Times New Roman" w:eastAsia="Times New Roman" w:hAnsi="Times New Roman"/>
          <w:sz w:val="12"/>
          <w:szCs w:val="12"/>
          <w:color w:val="auto"/>
        </w:rPr>
        <w:t>The Audit Committee oversees the Company’s financial reporting process on behalf of the Board of Directors. It is not the duty of the Audit Committee to prepare the Company’s financial statements, to plan or conduct audits or to determine that the Company’s financial statements are complete and accurate in accordance with generally accepted accounting principles. Management has the primary responsibility for the financial statements and the reporting process, including the system of internal controls. The independent registered public accounting firm is responsible for auditing the financial statements and expressing an opinion as to whether those audited financial statements fairly present the financial position, results of operations and cash flows of the Company in conformity with generally accepted accounting principles.</w:t>
      </w:r>
    </w:p>
    <w:p>
      <w:pPr>
        <w:spacing w:after="0" w:line="122" w:lineRule="exact"/>
        <w:rPr>
          <w:sz w:val="20"/>
          <w:szCs w:val="20"/>
          <w:color w:val="auto"/>
        </w:rPr>
      </w:pPr>
    </w:p>
    <w:p>
      <w:pPr>
        <w:ind w:right="280" w:firstLine="216"/>
        <w:spacing w:after="0" w:line="279" w:lineRule="auto"/>
        <w:rPr>
          <w:sz w:val="20"/>
          <w:szCs w:val="20"/>
          <w:color w:val="auto"/>
        </w:rPr>
      </w:pPr>
      <w:r>
        <w:rPr>
          <w:rFonts w:ascii="Times New Roman" w:cs="Times New Roman" w:eastAsia="Times New Roman" w:hAnsi="Times New Roman"/>
          <w:sz w:val="12"/>
          <w:szCs w:val="12"/>
          <w:color w:val="auto"/>
        </w:rPr>
        <w:t>The Audit Committee has reviewed and discussed with management and the independent registered public accounting firm the Company’s internal control over financial reporting, including a review of management’s and the independent registered public accounting firm’s assessments of and reports on the effectiveness of internal control over financial reporting and any significant deficiencies or material weaknesses.</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Audit Committee has reviewed and discussed with management the audited financial statements in the annual report on Form 10-K.</w:t>
      </w:r>
    </w:p>
    <w:p>
      <w:pPr>
        <w:spacing w:after="0" w:line="150"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The Audit Committee has discussed with the independent registered public accounting firm the matters required to be discussed by the applicable requirements of the Public Company Accounting Oversight Board (“PCAOB”) and the SEC, including the auditor’s judgment as to the quality, not just the acceptability, of the accounting principles, the consistency of their application and the clarity and completeness of the audited financial statements.</w:t>
      </w:r>
    </w:p>
    <w:p>
      <w:pPr>
        <w:spacing w:after="0" w:line="111"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The Audit Committee has received the written disclosures and the letter from the independent registered public accounting firm required by the applicable PCAOB requirements and has discussed with the independent registered public accounting firm their independence.</w:t>
      </w:r>
    </w:p>
    <w:p>
      <w:pPr>
        <w:spacing w:after="0" w:line="111" w:lineRule="exact"/>
        <w:rPr>
          <w:sz w:val="20"/>
          <w:szCs w:val="20"/>
          <w:color w:val="auto"/>
        </w:rPr>
      </w:pPr>
    </w:p>
    <w:p>
      <w:pPr>
        <w:ind w:right="200" w:firstLine="216"/>
        <w:spacing w:after="0" w:line="265" w:lineRule="auto"/>
        <w:rPr>
          <w:sz w:val="20"/>
          <w:szCs w:val="20"/>
          <w:color w:val="auto"/>
        </w:rPr>
      </w:pPr>
      <w:r>
        <w:rPr>
          <w:rFonts w:ascii="Times New Roman" w:cs="Times New Roman" w:eastAsia="Times New Roman" w:hAnsi="Times New Roman"/>
          <w:sz w:val="12"/>
          <w:szCs w:val="12"/>
          <w:color w:val="auto"/>
        </w:rPr>
        <w:t>Based on the reviews and discussions referred to above, the Audit Committee recommended to the Board of Directors (and the Board of Directors agreed) that the audited financial statements be included in the annual report on Form 10-K for the year ended December 31, 2024, for filing with the SEC. The Audit Committee and the Board of Directors also have recommended, subject to shareholder approval, the selection of the Company’s independent registered public accounting firm for fiscal year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Audit Committee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Katherine E. Wanner, Chairperson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David J. Grain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 William Griffin</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01"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59"/>
        </w:trPr>
        <w:tc>
          <w:tcPr>
            <w:tcW w:w="4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20" w:type="dxa"/>
            <w:vAlign w:val="bottom"/>
          </w:tcPr>
          <w:p>
            <w:pPr>
              <w:ind w:left="120"/>
              <w:spacing w:after="0"/>
              <w:rPr>
                <w:sz w:val="20"/>
                <w:szCs w:val="20"/>
                <w:color w:val="auto"/>
              </w:rPr>
            </w:pPr>
            <w:r>
              <w:rPr>
                <w:rFonts w:ascii="Times New Roman" w:cs="Times New Roman" w:eastAsia="Times New Roman" w:hAnsi="Times New Roman"/>
                <w:sz w:val="12"/>
                <w:szCs w:val="12"/>
                <w:b w:val="1"/>
                <w:bCs w:val="1"/>
                <w:color w:val="auto"/>
              </w:rPr>
              <w:t>MANAGEMENT</w:t>
            </w:r>
          </w:p>
        </w:tc>
      </w:tr>
      <w:tr>
        <w:trPr>
          <w:trHeight w:val="288"/>
        </w:trPr>
        <w:tc>
          <w:tcPr>
            <w:tcW w:w="11300" w:type="dxa"/>
            <w:vAlign w:val="bottom"/>
            <w:gridSpan w:val="5"/>
          </w:tcPr>
          <w:p>
            <w:pPr>
              <w:ind w:left="200"/>
              <w:spacing w:after="0"/>
              <w:rPr>
                <w:sz w:val="20"/>
                <w:szCs w:val="20"/>
                <w:color w:val="auto"/>
              </w:rPr>
            </w:pPr>
            <w:r>
              <w:rPr>
                <w:rFonts w:ascii="Times New Roman" w:cs="Times New Roman" w:eastAsia="Times New Roman" w:hAnsi="Times New Roman"/>
                <w:sz w:val="12"/>
                <w:szCs w:val="12"/>
                <w:color w:val="auto"/>
              </w:rPr>
              <w:t>The following table sets forth certain information with respect to the executive officers of the Company:</w:t>
            </w:r>
          </w:p>
        </w:tc>
      </w:tr>
      <w:tr>
        <w:trPr>
          <w:trHeight w:val="288"/>
        </w:trPr>
        <w:tc>
          <w:tcPr>
            <w:tcW w:w="43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Age</w:t>
            </w:r>
          </w:p>
        </w:tc>
        <w:tc>
          <w:tcPr>
            <w:tcW w:w="6220" w:type="dxa"/>
            <w:vAlign w:val="bottom"/>
          </w:tcPr>
          <w:p>
            <w:pPr>
              <w:ind w:left="2940"/>
              <w:spacing w:after="0"/>
              <w:rPr>
                <w:sz w:val="20"/>
                <w:szCs w:val="20"/>
                <w:color w:val="auto"/>
              </w:rPr>
            </w:pPr>
            <w:r>
              <w:rPr>
                <w:rFonts w:ascii="Times New Roman" w:cs="Times New Roman" w:eastAsia="Times New Roman" w:hAnsi="Times New Roman"/>
                <w:sz w:val="10"/>
                <w:szCs w:val="10"/>
                <w:b w:val="1"/>
                <w:bCs w:val="1"/>
                <w:color w:val="auto"/>
              </w:rPr>
              <w:t>Position</w:t>
            </w:r>
          </w:p>
        </w:tc>
      </w:tr>
      <w:tr>
        <w:trPr>
          <w:trHeight w:val="151"/>
        </w:trPr>
        <w:tc>
          <w:tcPr>
            <w:tcW w:w="4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Wesley R. Edens</w:t>
            </w:r>
          </w:p>
        </w:tc>
        <w:tc>
          <w:tcPr>
            <w:tcW w:w="16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63</w:t>
            </w:r>
          </w:p>
        </w:tc>
        <w:tc>
          <w:tcPr>
            <w:tcW w:w="140" w:type="dxa"/>
            <w:vAlign w:val="bottom"/>
            <w:tcBorders>
              <w:top w:val="single" w:sz="8" w:color="CCEEFF"/>
            </w:tcBorders>
            <w:shd w:val="clear" w:color="auto" w:fill="CCEEFF"/>
          </w:tcPr>
          <w:p>
            <w:pPr>
              <w:spacing w:after="0"/>
              <w:rPr>
                <w:sz w:val="13"/>
                <w:szCs w:val="13"/>
                <w:color w:val="auto"/>
              </w:rPr>
            </w:pPr>
          </w:p>
        </w:tc>
        <w:tc>
          <w:tcPr>
            <w:tcW w:w="6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53"/>
        </w:trPr>
        <w:tc>
          <w:tcPr>
            <w:tcW w:w="43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Christopher S. Guinta</w:t>
            </w:r>
          </w:p>
        </w:tc>
        <w:tc>
          <w:tcPr>
            <w:tcW w:w="6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42</w:t>
            </w:r>
          </w:p>
        </w:tc>
        <w:tc>
          <w:tcPr>
            <w:tcW w:w="140" w:type="dxa"/>
            <w:vAlign w:val="bottom"/>
          </w:tcPr>
          <w:p>
            <w:pPr>
              <w:spacing w:after="0"/>
              <w:rPr>
                <w:sz w:val="13"/>
                <w:szCs w:val="13"/>
                <w:color w:val="auto"/>
              </w:rPr>
            </w:pPr>
          </w:p>
        </w:tc>
        <w:tc>
          <w:tcPr>
            <w:tcW w:w="62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3"/>
        </w:trPr>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Michael Lowe</w:t>
            </w: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41</w:t>
            </w:r>
          </w:p>
        </w:tc>
        <w:tc>
          <w:tcPr>
            <w:tcW w:w="140" w:type="dxa"/>
            <w:vAlign w:val="bottom"/>
            <w:shd w:val="clear" w:color="auto" w:fill="CCEEFF"/>
          </w:tcPr>
          <w:p>
            <w:pPr>
              <w:spacing w:after="0"/>
              <w:rPr>
                <w:sz w:val="13"/>
                <w:szCs w:val="13"/>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Chief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3132455</wp:posOffset>
            </wp:positionH>
            <wp:positionV relativeFrom="paragraph">
              <wp:posOffset>-296545</wp:posOffset>
            </wp:positionV>
            <wp:extent cx="914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-296545</wp:posOffset>
            </wp:positionV>
            <wp:extent cx="914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174" w:lineRule="exact"/>
        <w:rPr>
          <w:sz w:val="20"/>
          <w:szCs w:val="20"/>
          <w:color w:val="auto"/>
        </w:rPr>
      </w:pPr>
    </w:p>
    <w:p>
      <w:pPr>
        <w:ind w:right="14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Wesley R. Edens. </w:t>
      </w:r>
      <w:r>
        <w:rPr>
          <w:rFonts w:ascii="Times New Roman" w:cs="Times New Roman" w:eastAsia="Times New Roman" w:hAnsi="Times New Roman"/>
          <w:sz w:val="12"/>
          <w:szCs w:val="12"/>
          <w:color w:val="auto"/>
        </w:rPr>
        <w:t>Wesley Edens is our founder and has served as our Chief Executive Officer and the Chairman of our Board of Directors since August 2018. For more information regarding Mr. Edens, see above under “Proposal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No. 1 Election of Directors—Information Concerning Our Directors, Including the Director Nominees.”</w:t>
      </w:r>
    </w:p>
    <w:p>
      <w:pPr>
        <w:spacing w:after="0" w:line="107" w:lineRule="exact"/>
        <w:rPr>
          <w:sz w:val="20"/>
          <w:szCs w:val="20"/>
          <w:color w:val="auto"/>
        </w:rPr>
      </w:pPr>
    </w:p>
    <w:p>
      <w:pPr>
        <w:ind w:right="8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Christopher S. Guinta. </w:t>
      </w:r>
      <w:r>
        <w:rPr>
          <w:rFonts w:ascii="Times New Roman" w:cs="Times New Roman" w:eastAsia="Times New Roman" w:hAnsi="Times New Roman"/>
          <w:sz w:val="12"/>
          <w:szCs w:val="12"/>
          <w:color w:val="auto"/>
        </w:rPr>
        <w:t>Mr. Guinta has served as our Chief Financial Officer since August 2018, and the Chief Financial Officer of New Fortress Energy Holdings since April 2017. Prior to joining NFE, Mr. Guinta served as Chief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Financial Officer of Ranger Offshore Inc. from November 2011 to April 2017. Prior to Ranger, Mr. Guinta served as an associate at SunTx Capital Partners from April 2009 to November 2011. Before joining SunTx Capital Partners, Mr. Guinta served as an associate at Citi Capital Markets in the Investment Banking Division.</w:t>
      </w:r>
    </w:p>
    <w:p>
      <w:pPr>
        <w:spacing w:after="0" w:line="117" w:lineRule="exact"/>
        <w:rPr>
          <w:sz w:val="20"/>
          <w:szCs w:val="20"/>
          <w:color w:val="auto"/>
        </w:rPr>
      </w:pPr>
    </w:p>
    <w:p>
      <w:pPr>
        <w:ind w:right="2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 xml:space="preserve">Michael Lowe </w:t>
      </w:r>
      <w:r>
        <w:rPr>
          <w:rFonts w:ascii="Times New Roman" w:cs="Times New Roman" w:eastAsia="Times New Roman" w:hAnsi="Times New Roman"/>
          <w:sz w:val="12"/>
          <w:szCs w:val="12"/>
          <w:color w:val="auto"/>
        </w:rPr>
        <w:t>Mr. Lowe began serving as our Chief Accounting Officer on April 29, 2025. Since 2019, Mr. Lowe has been a Senior Vice President of our accounting team, responsible for all financial reporting and technical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accounting matters. Prior to joining NFE, Mr. Lowe was a Director in PwC's Capital Markets and Accounting Advisory Services practice, advising clients on capital markets transactions and complex accounting issues. Mr. Lowe began his career with PwC and served in various roles from 2008 to 2019.</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20" w:name="page21"/>
    <w:bookmarkEnd w:id="20"/>
    <w:p>
      <w:pPr>
        <w:jc w:val="center"/>
        <w:ind w:right="-79"/>
        <w:spacing w:after="0"/>
        <w:rPr>
          <w:sz w:val="20"/>
          <w:szCs w:val="20"/>
          <w:color w:val="auto"/>
        </w:rPr>
      </w:pPr>
      <w:r>
        <w:rPr>
          <w:rFonts w:ascii="Times New Roman" w:cs="Times New Roman" w:eastAsia="Times New Roman" w:hAnsi="Times New Roman"/>
          <w:sz w:val="12"/>
          <w:szCs w:val="12"/>
          <w:b w:val="1"/>
          <w:bCs w:val="1"/>
          <w:color w:val="auto"/>
        </w:rPr>
        <w:t>EXECUTIVE COMPENSATION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Compensation Discussion and Analysis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Introduction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Compensation Discussion and Analysis that follows provides a description of our compensation program for each of the individuals listed below. We refer to these individuals throughout the Compensation Discussion 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Analysis and the tables that follow as our named executive officers. For 2024, our named executive officers were as follows:</w:t>
      </w:r>
    </w:p>
    <w:p>
      <w:pPr>
        <w:spacing w:after="0" w:line="139" w:lineRule="exact"/>
        <w:rPr>
          <w:sz w:val="20"/>
          <w:szCs w:val="20"/>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Wesley R. Edens, Chief Executive Officer</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Christopher S. Guinta, Chief Financial Officer</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Yunyoung Shin, Chief Accounting Officer</w:t>
      </w:r>
    </w:p>
    <w:p>
      <w:pPr>
        <w:spacing w:after="0" w:line="159"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Andrew Dete, President</w:t>
      </w:r>
    </w:p>
    <w:p>
      <w:pPr>
        <w:spacing w:after="0" w:line="13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Effective January 2, 2025, Mr. Dete transitioned to an external role acting on the Company’s Brazilian operations under a consulting agreement with the Company and no longer serves as President of the Company.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Role of the Compensation Committee in Executive Compensation</w:t>
      </w:r>
    </w:p>
    <w:p>
      <w:pPr>
        <w:spacing w:after="0" w:line="1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 2024, our Compensation Committee made all decisions regarding the compensation levels of our named executive officers. It is our Compensation Committee’s responsibility to:</w:t>
      </w:r>
    </w:p>
    <w:p>
      <w:pPr>
        <w:spacing w:after="0" w:line="150" w:lineRule="exact"/>
        <w:rPr>
          <w:sz w:val="20"/>
          <w:szCs w:val="20"/>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 the design of our executive compensation programs, policies and practices;</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determine the types and amounts of compensation for our executive officers;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review and approve the adoption, termination and amendment of, and to administer and, as appropriate, make recommendations to the Board regarding, our incentive compensation plans.</w:t>
      </w:r>
    </w:p>
    <w:p>
      <w:pPr>
        <w:spacing w:after="0" w:line="150"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Our objective is to provide a market-based executive compensation program tied to performance and aligned with the interests of our stockholders. We did not retain a compensation consultant to provide advice on our executive compensation practices for 2024. Our Compensation Committee reviewed the competitiveness of our executive compensation programs and recent governance trends related to executive compensation when determining the compensation levels for our named executive officers in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Role of Executive Officers in Determining Compensation for our Executive Compensation</w:t>
      </w:r>
    </w:p>
    <w:p>
      <w:pPr>
        <w:spacing w:after="0" w:line="154"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Our Compensation Committee made all decisions regarding the compensation of our named executive officers in respect of 2024. As a member of our compensation committee until October 1, 2024, Mr. Edens was involved in all decisions regarding the compensation of our named executive officers prior to that date. As described more fully below, Mr. Edens does not receive any compensation from any party for services rendered to us.</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Prior to October 1, 2024, Messrs. Edens and Nardone served as the members of our Compensation Committee. As of October 1, 2024, our Compensation Committee has been has been composed entirely of independent directors.</w:t>
      </w:r>
    </w:p>
    <w:p>
      <w:pPr>
        <w:spacing w:after="0" w:line="150"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At our 2024 Annual Meeting of Stockholders, we held a non-binding advisory stockholder vote on the compensation of our named executive officers for the year ended December 31, 2024 (the “2024 Say-on-Pay” vote). Our stockholders approved the compensation of our named executive officers, with approximately 99.5% of the votes cast in favor of our 2024 Say-on-Pay resolution. Our Compensation Committee interprets this level of support as an endorsement of our compensation program, and no changes were required to be made as a result of the 2024 Say-on-Pay vote. Our Compensation Committee will continue to consider the outcome of the Company’s say-on-pay votes and other feedback from stockholders when making future compensation decisions.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Elements of our Executive Compensation Program</w:t>
      </w:r>
    </w:p>
    <w:p>
      <w:pPr>
        <w:spacing w:after="0" w:line="154" w:lineRule="exact"/>
        <w:rPr>
          <w:sz w:val="20"/>
          <w:szCs w:val="20"/>
          <w:color w:val="auto"/>
        </w:rPr>
      </w:pPr>
    </w:p>
    <w:p>
      <w:pPr>
        <w:ind w:right="80" w:firstLine="216"/>
        <w:spacing w:after="0" w:line="279" w:lineRule="auto"/>
        <w:rPr>
          <w:sz w:val="20"/>
          <w:szCs w:val="20"/>
          <w:color w:val="auto"/>
        </w:rPr>
      </w:pPr>
      <w:r>
        <w:rPr>
          <w:rFonts w:ascii="Times New Roman" w:cs="Times New Roman" w:eastAsia="Times New Roman" w:hAnsi="Times New Roman"/>
          <w:sz w:val="12"/>
          <w:szCs w:val="12"/>
          <w:color w:val="auto"/>
        </w:rPr>
        <w:t>Mr. Edens has elected to serve as our CEO without compensation, primarily due to his substantial ownership stake in us. Mr. Edens is compensated by FIG LLC for services performed for the benefit of Fortress and certain other Fortress entities. However, none</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00"/>
          </w:cols>
          <w:pgMar w:left="300" w:top="701" w:right="399" w:bottom="1440" w:gutter="0" w:footer="0" w:header="0"/>
        </w:sectPr>
      </w:pPr>
    </w:p>
    <w:bookmarkStart w:id="21" w:name="page22"/>
    <w:bookmarkEnd w:id="21"/>
    <w:p>
      <w:pPr>
        <w:ind w:right="200"/>
        <w:spacing w:after="0" w:line="279" w:lineRule="auto"/>
        <w:rPr>
          <w:sz w:val="20"/>
          <w:szCs w:val="20"/>
          <w:color w:val="auto"/>
        </w:rPr>
      </w:pPr>
      <w:r>
        <w:rPr>
          <w:rFonts w:ascii="Times New Roman" w:cs="Times New Roman" w:eastAsia="Times New Roman" w:hAnsi="Times New Roman"/>
          <w:sz w:val="12"/>
          <w:szCs w:val="12"/>
          <w:color w:val="auto"/>
        </w:rPr>
        <w:t>of the compensation received by Mr. Edens from FIG LLC is compensation for services rendered to us. As such, compensation information for Mr. Edens is not included below. The following discussion applies to the compensation provided to Mr. Guinta, Ms. Shin and Mr. Dete in 2024.</w:t>
      </w:r>
    </w:p>
    <w:p>
      <w:pPr>
        <w:spacing w:after="0" w:line="109" w:lineRule="exact"/>
        <w:rPr>
          <w:sz w:val="20"/>
          <w:szCs w:val="20"/>
          <w:color w:val="auto"/>
        </w:rPr>
      </w:pPr>
    </w:p>
    <w:p>
      <w:pPr>
        <w:ind w:right="60"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Base Salary</w:t>
      </w:r>
      <w:r>
        <w:rPr>
          <w:rFonts w:ascii="Times New Roman" w:cs="Times New Roman" w:eastAsia="Times New Roman" w:hAnsi="Times New Roman"/>
          <w:sz w:val="12"/>
          <w:szCs w:val="12"/>
          <w:color w:val="auto"/>
        </w:rPr>
        <w:t>. Base salary is a fixed component of our executive compensation for each year, which may be increased from time to time based on the individual’s performance and other factors as determined by our Compensation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Committee. Base salaries were originally set pursuant to negotiations with our named executive officers at the time of hire, and are intended to reflect the position, duties and responsibilities of each executive. As previously noted, Mr. Edens does not receive compensation from us. For 2024, annual base salaries for Mr. Guinta, Ms. Shin and Mr. Dete were $350,000, $250,000 and $250,000, respectively, each of which were unchanged from 2023.</w:t>
      </w:r>
    </w:p>
    <w:p>
      <w:pPr>
        <w:spacing w:after="0" w:line="117" w:lineRule="exact"/>
        <w:rPr>
          <w:sz w:val="20"/>
          <w:szCs w:val="20"/>
          <w:color w:val="auto"/>
        </w:rPr>
      </w:pPr>
    </w:p>
    <w:p>
      <w:pPr>
        <w:ind w:right="40" w:firstLine="216"/>
        <w:spacing w:after="0" w:line="258" w:lineRule="auto"/>
        <w:rPr>
          <w:sz w:val="20"/>
          <w:szCs w:val="20"/>
          <w:color w:val="auto"/>
        </w:rPr>
      </w:pPr>
      <w:r>
        <w:rPr>
          <w:rFonts w:ascii="Times New Roman" w:cs="Times New Roman" w:eastAsia="Times New Roman" w:hAnsi="Times New Roman"/>
          <w:sz w:val="12"/>
          <w:szCs w:val="12"/>
          <w:i w:val="1"/>
          <w:iCs w:val="1"/>
          <w:color w:val="auto"/>
        </w:rPr>
        <w:t>Annual Cash Bonuses</w:t>
      </w:r>
      <w:r>
        <w:rPr>
          <w:rFonts w:ascii="Times New Roman" w:cs="Times New Roman" w:eastAsia="Times New Roman" w:hAnsi="Times New Roman"/>
          <w:sz w:val="12"/>
          <w:szCs w:val="12"/>
          <w:color w:val="auto"/>
        </w:rPr>
        <w:t>. Our named executive officers are eligible to receive annual cash bonuses. We consider annual cash incentive bonuses to be “at-risk” compensation. For 2024, Mr. Guinta had a target bonus opportunity equal</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125% of his annual base salary. Following a review of his performance by our Compensation Committee, the Compensation Committee awarded Mr. Guinta a $6,000,000 bonus in respect of 2024 performance. For 2024, Ms. Shin and Mr. Dete were eligible to receive discretionary annual bonuses. Following a review of their performance by the Compensation Committee, our Compensation Committee awarded Ms. Shin and Mr. Dete bonuses of $1,500,000 and $3,500,000, respectively, for 2024 performance. Mr. Guinta, Ms. Shin and Mr. Dete must be actively employed at, and not have given or received notice of termination prior to, the time of the bonus payment in order to receive the bonus. Mr. Edens elected not to receive an annual cash bonus or any other compensation from the Company in respect of 2024.</w:t>
      </w:r>
    </w:p>
    <w:p>
      <w:pPr>
        <w:spacing w:after="0" w:line="124"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Historically, our Compensation Committee has not used pre-established performance goals in its evaluation of performance with respect to the annual incentive payment. Instead, our Compensation Committee has considered many factors in its decision-making process relating to the amount, if any, of the annual incentive payment. The factors have generally involved the following:</w:t>
      </w:r>
    </w:p>
    <w:p>
      <w:pPr>
        <w:spacing w:after="0" w:line="109" w:lineRule="exact"/>
        <w:rPr>
          <w:sz w:val="20"/>
          <w:szCs w:val="20"/>
          <w:color w:val="auto"/>
        </w:rPr>
      </w:pPr>
    </w:p>
    <w:p>
      <w:pPr>
        <w:ind w:left="420" w:right="360" w:hanging="212"/>
        <w:spacing w:after="0" w:line="283" w:lineRule="auto"/>
        <w:tabs>
          <w:tab w:leader="none" w:pos="417"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Reviewing Company performance</w:t>
      </w:r>
      <w:r>
        <w:rPr>
          <w:rFonts w:ascii="Times New Roman" w:cs="Times New Roman" w:eastAsia="Times New Roman" w:hAnsi="Times New Roman"/>
          <w:sz w:val="12"/>
          <w:szCs w:val="12"/>
          <w:color w:val="auto"/>
        </w:rPr>
        <w:t>. Our Compensation Committee reviews all aspects of financial and operational performance of the Company, and also assesses Company performance in relation to the direction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Company’s business, taking into account changing economic and market environments.</w:t>
      </w:r>
    </w:p>
    <w:p>
      <w:pPr>
        <w:spacing w:after="0" w:line="106" w:lineRule="exact"/>
        <w:rPr>
          <w:rFonts w:ascii="Times New Roman" w:cs="Times New Roman" w:eastAsia="Times New Roman" w:hAnsi="Times New Roman"/>
          <w:sz w:val="12"/>
          <w:szCs w:val="12"/>
          <w:color w:val="auto"/>
        </w:rPr>
      </w:pPr>
    </w:p>
    <w:p>
      <w:pPr>
        <w:jc w:val="both"/>
        <w:ind w:left="420" w:right="100" w:hanging="212"/>
        <w:spacing w:after="0" w:line="330" w:lineRule="auto"/>
        <w:tabs>
          <w:tab w:leader="none" w:pos="417"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i w:val="1"/>
          <w:iCs w:val="1"/>
          <w:color w:val="auto"/>
        </w:rPr>
        <w:t>Individual performance</w:t>
      </w:r>
      <w:r>
        <w:rPr>
          <w:rFonts w:ascii="Times New Roman" w:cs="Times New Roman" w:eastAsia="Times New Roman" w:hAnsi="Times New Roman"/>
          <w:sz w:val="11"/>
          <w:szCs w:val="11"/>
          <w:color w:val="auto"/>
        </w:rPr>
        <w:t>. Our Compensation Committee also evaluates individual performance beyond purely financial measures, including, generally, one or any combination of the following: exceptional performance of the</w:t>
      </w:r>
      <w:r>
        <w:rPr>
          <w:rFonts w:ascii="Times New Roman" w:cs="Times New Roman" w:eastAsia="Times New Roman" w:hAnsi="Times New Roman"/>
          <w:sz w:val="11"/>
          <w:szCs w:val="11"/>
          <w:i w:val="1"/>
          <w:iCs w:val="1"/>
          <w:color w:val="auto"/>
        </w:rPr>
        <w:t xml:space="preserve"> </w:t>
      </w:r>
      <w:r>
        <w:rPr>
          <w:rFonts w:ascii="Times New Roman" w:cs="Times New Roman" w:eastAsia="Times New Roman" w:hAnsi="Times New Roman"/>
          <w:sz w:val="11"/>
          <w:szCs w:val="11"/>
          <w:color w:val="auto"/>
        </w:rPr>
        <w:t>individual’s functional responsibilities; leadership; creativity; innovation; collaboration; development and implementation of growth initiatives; and other activities that are critical to driving long-term value for shareholders.</w:t>
      </w:r>
    </w:p>
    <w:p>
      <w:pPr>
        <w:spacing w:after="0" w:line="86" w:lineRule="exact"/>
        <w:rPr>
          <w:sz w:val="20"/>
          <w:szCs w:val="20"/>
          <w:color w:val="auto"/>
        </w:rPr>
      </w:pPr>
    </w:p>
    <w:p>
      <w:pPr>
        <w:ind w:right="320" w:firstLine="216"/>
        <w:spacing w:after="0" w:line="279" w:lineRule="auto"/>
        <w:rPr>
          <w:sz w:val="20"/>
          <w:szCs w:val="20"/>
          <w:color w:val="auto"/>
        </w:rPr>
      </w:pPr>
      <w:r>
        <w:rPr>
          <w:rFonts w:ascii="Times New Roman" w:cs="Times New Roman" w:eastAsia="Times New Roman" w:hAnsi="Times New Roman"/>
          <w:sz w:val="12"/>
          <w:szCs w:val="12"/>
          <w:color w:val="auto"/>
        </w:rPr>
        <w:t>After the end of the fiscal year, our Compensation Committee reviews both Company and individual performance to determine actual bonus payouts for the applicable year. Historically, our Compensation Committee has not applied a pre-established formula for determining the relative importance of the factors discussed above.</w:t>
      </w:r>
    </w:p>
    <w:p>
      <w:pPr>
        <w:spacing w:after="0" w:line="109" w:lineRule="exact"/>
        <w:rPr>
          <w:sz w:val="20"/>
          <w:szCs w:val="20"/>
          <w:color w:val="auto"/>
        </w:rPr>
      </w:pPr>
    </w:p>
    <w:p>
      <w:pPr>
        <w:ind w:firstLine="216"/>
        <w:spacing w:after="0" w:line="266" w:lineRule="auto"/>
        <w:rPr>
          <w:sz w:val="20"/>
          <w:szCs w:val="20"/>
          <w:color w:val="auto"/>
        </w:rPr>
      </w:pPr>
      <w:r>
        <w:rPr>
          <w:rFonts w:ascii="Times New Roman" w:cs="Times New Roman" w:eastAsia="Times New Roman" w:hAnsi="Times New Roman"/>
          <w:sz w:val="12"/>
          <w:szCs w:val="12"/>
          <w:i w:val="1"/>
          <w:iCs w:val="1"/>
          <w:color w:val="auto"/>
        </w:rPr>
        <w:t>Long-Term Incentive Awards</w:t>
      </w:r>
      <w:r>
        <w:rPr>
          <w:rFonts w:ascii="Times New Roman" w:cs="Times New Roman" w:eastAsia="Times New Roman" w:hAnsi="Times New Roman"/>
          <w:sz w:val="12"/>
          <w:szCs w:val="12"/>
          <w:color w:val="auto"/>
        </w:rPr>
        <w:t>. In 2019, in connection with our initial public offering, the Company adopted the New Fortress Energy Inc. 2019 Omnibus Incentive Plan (the “Incentive Plan”). Under the Incentive Plan, the Company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may issue options, share appreciation rights, restricted shares, restricted share units (“RSUs”) and performance share units (“PSUs”), share bonuses or other share-based awards to selected officers, employees, non-employee directors and select non-employees of NFE or its affiliates.</w:t>
      </w:r>
    </w:p>
    <w:p>
      <w:pPr>
        <w:spacing w:after="0" w:line="119"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To more closely align their long-term interests with the interests of the Company and our shareholders, in March of 2024, Mr. Guinta, Ms. Shin and Mr. Dete were awarded time-vesting RSUs under the Incentive Plan that vest in two installments on January 2, 2025 and January 2, 2026. These RSUs were granted to them in respect of their performance in each of 2021, 2022 and 2023.</w:t>
      </w:r>
    </w:p>
    <w:p>
      <w:pPr>
        <w:spacing w:after="0" w:line="111" w:lineRule="exact"/>
        <w:rPr>
          <w:sz w:val="20"/>
          <w:szCs w:val="20"/>
          <w:color w:val="auto"/>
        </w:rPr>
      </w:pPr>
    </w:p>
    <w:p>
      <w:pPr>
        <w:ind w:right="20" w:firstLine="216"/>
        <w:spacing w:after="0" w:line="279" w:lineRule="auto"/>
        <w:rPr>
          <w:sz w:val="20"/>
          <w:szCs w:val="20"/>
          <w:color w:val="auto"/>
        </w:rPr>
      </w:pPr>
      <w:r>
        <w:rPr>
          <w:rFonts w:ascii="Times New Roman" w:cs="Times New Roman" w:eastAsia="Times New Roman" w:hAnsi="Times New Roman"/>
          <w:sz w:val="12"/>
          <w:szCs w:val="12"/>
          <w:color w:val="auto"/>
        </w:rPr>
        <w:t>In May 2024, the Company granted time-vesting equity awards to Mr. Dete that will settle in shares of a subsidiary owning the Company's Brazilian operations that vest in annual installments through March 31, 2027. These equity awards were granted to him in respect of his performance related to the Company's Brazilian operations..</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Perquisites and Personal Benefits</w:t>
      </w:r>
      <w:r>
        <w:rPr>
          <w:rFonts w:ascii="Times New Roman" w:cs="Times New Roman" w:eastAsia="Times New Roman" w:hAnsi="Times New Roman"/>
          <w:sz w:val="12"/>
          <w:szCs w:val="12"/>
          <w:color w:val="auto"/>
        </w:rPr>
        <w:t>. We did not provide any perquisites or personal benefits to our named executive officers in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Offer Letters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have entered into offer letters with Mr. Guinta, Ms. Shin and Mr. Dete. We have not entered into an offer letter or employment agreement with Mr. Edens.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05" w:right="339" w:bottom="1440" w:gutter="0" w:footer="0" w:header="0"/>
        </w:sectPr>
      </w:pPr>
    </w:p>
    <w:bookmarkStart w:id="22" w:name="page23"/>
    <w:bookmarkEnd w:id="22"/>
    <w:p>
      <w:pPr>
        <w:ind w:right="60"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Guinta Offer Letter</w:t>
      </w:r>
      <w:r>
        <w:rPr>
          <w:rFonts w:ascii="Times New Roman" w:cs="Times New Roman" w:eastAsia="Times New Roman" w:hAnsi="Times New Roman"/>
          <w:sz w:val="12"/>
          <w:szCs w:val="12"/>
          <w:color w:val="auto"/>
        </w:rPr>
        <w:t>. On March 14, 2017, NFE Management, LLC entered into an offer letter (the “Guinta Offer Letter”) with Mr. Guinta. The Guinta Offer Letter provides Mr. Guinta with an annualized base salary of $350,000,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discretionary target bonus opportunity equal to 125% of annual base salary and eligibility to participate in our broad-based employee benefit plans, as may be adopted from time to time, subject to the eligibility requirements of such employee benefit plans. The Guinta Offer Letter also contains certain restrictive covenants, including (a) non-competition and non-solicitation covenants that are applicable during Mr. Guinta’s term of employment, and for twelve months following his resignation or termination of his employment for cause (as defined below) and (b) restrictions on disclosure of confidential information.</w:t>
      </w:r>
    </w:p>
    <w:p>
      <w:pPr>
        <w:spacing w:after="0" w:line="120" w:lineRule="exact"/>
        <w:rPr>
          <w:sz w:val="20"/>
          <w:szCs w:val="20"/>
          <w:color w:val="auto"/>
        </w:rPr>
      </w:pPr>
    </w:p>
    <w:p>
      <w:pPr>
        <w:jc w:val="both"/>
        <w:ind w:right="20"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Shin Offer Letter. </w:t>
      </w:r>
      <w:r>
        <w:rPr>
          <w:rFonts w:ascii="Times New Roman" w:cs="Times New Roman" w:eastAsia="Times New Roman" w:hAnsi="Times New Roman"/>
          <w:sz w:val="12"/>
          <w:szCs w:val="12"/>
          <w:color w:val="auto"/>
        </w:rPr>
        <w:t>On December 3, 2019, NFE Management, LLC entered into an offer letter (the “Shin Offer Letter”) with Ms. Shin. The Shin Offer Letter provides Ms. Shin with an annualized base salary of $200,000, eligibility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receive a discretionary bonus and eligibility to participate in our broad-based employee benefit plans, as may be adopted from time to time, subject to the eligibility requirements of such employee benefit plans. The Shin Offer Letter also contains certain restrictive covenants, including (a) non-competition and non-solicitation covenants that are applicable during Ms. Shin’s term of employment, and for twelve months following her resignation or termination of her employment for cause (as defined below) and (b) restrictions on disclosure of confidential information. Ms. Shin's annual base salary was increased to $250,000 in 2023.</w:t>
      </w:r>
    </w:p>
    <w:p>
      <w:pPr>
        <w:spacing w:after="0" w:line="120" w:lineRule="exact"/>
        <w:rPr>
          <w:sz w:val="20"/>
          <w:szCs w:val="20"/>
          <w:color w:val="auto"/>
        </w:rPr>
      </w:pPr>
    </w:p>
    <w:p>
      <w:pPr>
        <w:ind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Dete Offer Letter. </w:t>
      </w:r>
      <w:r>
        <w:rPr>
          <w:rFonts w:ascii="Times New Roman" w:cs="Times New Roman" w:eastAsia="Times New Roman" w:hAnsi="Times New Roman"/>
          <w:sz w:val="12"/>
          <w:szCs w:val="12"/>
          <w:color w:val="auto"/>
        </w:rPr>
        <w:t>On September 9, 2020, NFE Management, LLC entered into an offer letter (the “Dete Offer Letter”) with Mr. Dete. The Dete Offer Letter provides Mr. Dete with an annualized base salary of $250,000, eligibility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to receive a discretionary bonus and eligibility to participate in our broad-based employee benefit plans, as may be adopted from time to time, subject to the eligibility requirements of such employee benefit plans. The Dete Offer Letter also contains certain restrictive covenants, including (a) non-competition and non-solicitation covenants that are applicable during Mr. Dete’s term of employment, and for twelve months following his resignation or termination of his employment for cause (as defined below) and (b) restrictions on disclosure of confidential information.</w:t>
      </w:r>
    </w:p>
    <w:p>
      <w:pPr>
        <w:spacing w:after="0" w:line="122" w:lineRule="exact"/>
        <w:rPr>
          <w:sz w:val="20"/>
          <w:szCs w:val="20"/>
          <w:color w:val="auto"/>
        </w:rPr>
      </w:pPr>
    </w:p>
    <w:p>
      <w:pPr>
        <w:ind w:firstLine="216"/>
        <w:spacing w:after="0" w:line="286" w:lineRule="auto"/>
        <w:rPr>
          <w:sz w:val="20"/>
          <w:szCs w:val="20"/>
          <w:color w:val="auto"/>
        </w:rPr>
      </w:pPr>
      <w:r>
        <w:rPr>
          <w:rFonts w:ascii="Times New Roman" w:cs="Times New Roman" w:eastAsia="Times New Roman" w:hAnsi="Times New Roman"/>
          <w:sz w:val="11"/>
          <w:szCs w:val="11"/>
          <w:color w:val="auto"/>
        </w:rPr>
        <w:t>As used in the Guinta Offer Letter, Shin Offer Letter and Dete Offer Letter, “cause” generally means the executive’s (i) willful misconduct or gross negligence in the performance of his or her duties; (ii) failure to perform his or her duties or to follow the lawful directives of our Board; (iii) commission of, indictment for, conviction of, or pleading of guilty or nolo contendere to, a felony or any crime involving moral turpitude; (iv) failure to cooperate in any audit or investigation of the business or financial practices of any member of NFE Management, LLC or any of its affiliates or any facility managed by any of the foregoing entities (collectively, the “Company Group”); (v) performance of any material act of theft, embezzlement, fraud, malfeasance, dishonesty or misappropriation of the property of any member of the Company Group; or (vi) breach of the applicable offer letter or any other agreement with a member of the Company Group, including (without limitation), a violation of the code of conduct or other written policy of any such entity. Ms. Shin’s breach of any restrictive covenant would also constitute “cause” under the Shin Offer Letter.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Tax Considerations</w:t>
      </w:r>
    </w:p>
    <w:p>
      <w:pPr>
        <w:spacing w:after="0" w:line="154" w:lineRule="exact"/>
        <w:rPr>
          <w:sz w:val="20"/>
          <w:szCs w:val="20"/>
          <w:color w:val="auto"/>
        </w:rPr>
      </w:pPr>
    </w:p>
    <w:p>
      <w:pPr>
        <w:jc w:val="both"/>
        <w:ind w:right="100" w:firstLine="216"/>
        <w:spacing w:after="0" w:line="260" w:lineRule="auto"/>
        <w:rPr>
          <w:sz w:val="20"/>
          <w:szCs w:val="20"/>
          <w:color w:val="auto"/>
        </w:rPr>
      </w:pPr>
      <w:r>
        <w:rPr>
          <w:rFonts w:ascii="Times New Roman" w:cs="Times New Roman" w:eastAsia="Times New Roman" w:hAnsi="Times New Roman"/>
          <w:sz w:val="12"/>
          <w:szCs w:val="12"/>
          <w:color w:val="auto"/>
        </w:rPr>
        <w:t>As a general matter, our Compensation Committee considers the various tax and accounting implications of our existing and proposed compensation programs. We consider the tax-deductibility of compensation in designing our compensation programs, but it is not our sole consideration and we retain the discretion to award compensation that is non-deductible. Section 162(m) of the Internal Revenue Code limits to $1 million per year the federal income tax deduction available to public corporations for compensation paid for any fiscal year to the CEO and other named executive officers. As a result, compensation paid in excess of $1 million to each of our other named executive officers will generally not be deductible.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Hedging and Pledging Policy</w:t>
      </w:r>
    </w:p>
    <w:p>
      <w:pPr>
        <w:spacing w:after="0" w:line="154" w:lineRule="exact"/>
        <w:rPr>
          <w:sz w:val="20"/>
          <w:szCs w:val="20"/>
          <w:color w:val="auto"/>
        </w:rPr>
      </w:pPr>
    </w:p>
    <w:p>
      <w:pPr>
        <w:jc w:val="both"/>
        <w:ind w:right="40" w:firstLine="216"/>
        <w:spacing w:after="0" w:line="260" w:lineRule="auto"/>
        <w:rPr>
          <w:sz w:val="20"/>
          <w:szCs w:val="20"/>
          <w:color w:val="auto"/>
        </w:rPr>
      </w:pPr>
      <w:r>
        <w:rPr>
          <w:rFonts w:ascii="Times New Roman" w:cs="Times New Roman" w:eastAsia="Times New Roman" w:hAnsi="Times New Roman"/>
          <w:sz w:val="12"/>
          <w:szCs w:val="12"/>
          <w:color w:val="auto"/>
        </w:rPr>
        <w:t>Subject to certain exceptions (as described below), our insider trading policy expressly prohibits transactions involving hedging, margining or pledging of shares of our Common Stock and other equity securities and derivatives by officers, directors and employees of the Company (“Insiders”), as well as any such Insider’s spouse, minor children, adult family members sharing the same household on a continuous basis, financial dependents, and any other person or entity over whom the Insider exercises substantial influence or control over his, her or its securities trading decisions, and any other trust or other estate in which an Insider has a substantial beneficial interest or as to which he or she serves as trustee or in a similar capacity.</w:t>
      </w:r>
    </w:p>
    <w:p>
      <w:pPr>
        <w:spacing w:after="0" w:line="122" w:lineRule="exact"/>
        <w:rPr>
          <w:sz w:val="20"/>
          <w:szCs w:val="20"/>
          <w:color w:val="auto"/>
        </w:rPr>
      </w:pPr>
    </w:p>
    <w:p>
      <w:pPr>
        <w:jc w:val="both"/>
        <w:ind w:right="20" w:firstLine="216"/>
        <w:spacing w:after="0" w:line="260" w:lineRule="auto"/>
        <w:rPr>
          <w:sz w:val="20"/>
          <w:szCs w:val="20"/>
          <w:color w:val="auto"/>
        </w:rPr>
      </w:pPr>
      <w:r>
        <w:rPr>
          <w:rFonts w:ascii="Times New Roman" w:cs="Times New Roman" w:eastAsia="Times New Roman" w:hAnsi="Times New Roman"/>
          <w:sz w:val="12"/>
          <w:szCs w:val="12"/>
          <w:color w:val="auto"/>
        </w:rPr>
        <w:t>Our policy provides limited exceptions in the event of prior approval by the Company's insider trading compliance officer, securities that are margined and are sold by a broker without the customer's consent if the customer fails to meet a margin call, transactions made pursuant to a written trading plan designed and entered into in accordance with Rule 10b5-1 of the Exchange Act, exercises of share options where no shares of the Company are sold in the market to fund the option exercise price or related taxes, the exercise of a tax withholding right pursuant to which a person has elected to have the Company withhold shares subject to an option to satisfy tax withholding requirements, vesting of restricted shares or the exercise of a tax withholding right in connection with restricted</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703" w:right="339" w:bottom="1440" w:gutter="0" w:footer="0" w:header="0"/>
        </w:sectPr>
      </w:pPr>
    </w:p>
    <w:bookmarkStart w:id="23" w:name="page24"/>
    <w:bookmarkEnd w:id="23"/>
    <w:p>
      <w:pPr>
        <w:spacing w:after="0" w:line="279" w:lineRule="auto"/>
        <w:rPr>
          <w:sz w:val="20"/>
          <w:szCs w:val="20"/>
          <w:color w:val="auto"/>
        </w:rPr>
      </w:pPr>
      <w:r>
        <w:rPr>
          <w:rFonts w:ascii="Times New Roman" w:cs="Times New Roman" w:eastAsia="Times New Roman" w:hAnsi="Times New Roman"/>
          <w:sz w:val="12"/>
          <w:szCs w:val="12"/>
          <w:color w:val="auto"/>
        </w:rPr>
        <w:t>shares or other equity awards pursuant to which such person has elected to have the Company withhold shares to satisfy tax withholding requirements upon the vesting of any restricted shares or other award, and purchases of Company shares in any present or future 401(k) plan resulting from a person’s periodic contributions to the plan pursuant to that person’s payroll deduction election.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Clawback Policy</w:t>
      </w:r>
    </w:p>
    <w:p>
      <w:pPr>
        <w:spacing w:after="0" w:line="154" w:lineRule="exact"/>
        <w:rPr>
          <w:sz w:val="20"/>
          <w:szCs w:val="20"/>
          <w:color w:val="auto"/>
        </w:rPr>
      </w:pPr>
    </w:p>
    <w:p>
      <w:pPr>
        <w:jc w:val="both"/>
        <w:ind w:right="80" w:firstLine="216"/>
        <w:spacing w:after="0" w:line="265" w:lineRule="auto"/>
        <w:rPr>
          <w:sz w:val="20"/>
          <w:szCs w:val="20"/>
          <w:color w:val="auto"/>
        </w:rPr>
      </w:pPr>
      <w:r>
        <w:rPr>
          <w:rFonts w:ascii="Times New Roman" w:cs="Times New Roman" w:eastAsia="Times New Roman" w:hAnsi="Times New Roman"/>
          <w:sz w:val="12"/>
          <w:szCs w:val="12"/>
          <w:color w:val="auto"/>
        </w:rPr>
        <w:t>Effective December 1, 2023, we adopted the New Fortress Energy Inc. Clawback Policy, which is included as Exhibit 97.1 to our Annual Report on Form 10-K for our most recently completed fiscal year, covering our executive officers. Our Clawback Policy provides that in the event of a required accounting restatement, our Compensation Committee will seek reimbursement of the portion of any incentive-based compensation that would not have been paid had our financial statements been correctly stated.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Option Grant Practices and Policies</w:t>
      </w:r>
    </w:p>
    <w:p>
      <w:pPr>
        <w:spacing w:after="0" w:line="154" w:lineRule="exact"/>
        <w:rPr>
          <w:sz w:val="20"/>
          <w:szCs w:val="20"/>
          <w:color w:val="auto"/>
        </w:rPr>
      </w:pPr>
    </w:p>
    <w:p>
      <w:pPr>
        <w:ind w:right="240" w:firstLine="216"/>
        <w:spacing w:after="0" w:line="279" w:lineRule="auto"/>
        <w:rPr>
          <w:sz w:val="20"/>
          <w:szCs w:val="20"/>
          <w:color w:val="auto"/>
        </w:rPr>
      </w:pPr>
      <w:r>
        <w:rPr>
          <w:rFonts w:ascii="Times New Roman" w:cs="Times New Roman" w:eastAsia="Times New Roman" w:hAnsi="Times New Roman"/>
          <w:sz w:val="12"/>
          <w:szCs w:val="12"/>
          <w:color w:val="auto"/>
        </w:rPr>
        <w:t>We do not grant equity in the form of stock options, stock appreciation rights, or similar option-like instruments. As such, we do not currently have any policies or practices in place with respect to the timing of such awards in relation to the disclosure of material non-public information.</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05" w:right="35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2"/>
          <w:szCs w:val="12"/>
          <w:b w:val="1"/>
          <w:bCs w:val="1"/>
          <w:color w:val="auto"/>
        </w:rPr>
        <w:t>COMPENSATION COMMITTEE REPORT</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Compensation Committee has reviewed and discussed the 2024 Compensation Discussion and Analysis required by Item 402(b) of Regulation S-K with the Company’s management.</w:t>
      </w:r>
    </w:p>
    <w:p>
      <w:pPr>
        <w:spacing w:after="0" w:line="150"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Based on this review and their discussions, the Compensation Committee has recommended to the Board of Directors that the 2024 Compensation Discussion and Analysis be included in the Proxy Statement for the 2025 Annual Meeting of Stockholders to be filed with the SEC.</w:t>
      </w:r>
    </w:p>
    <w:p>
      <w:pPr>
        <w:spacing w:after="0" w:line="1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The Compensation Committee</w:t>
      </w:r>
    </w:p>
    <w:p>
      <w:pPr>
        <w:spacing w:after="0" w:line="1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David J. Grain</w:t>
      </w:r>
    </w:p>
    <w:p>
      <w:pPr>
        <w:ind w:left="200"/>
        <w:spacing w:after="0" w:line="203" w:lineRule="auto"/>
        <w:rPr>
          <w:sz w:val="20"/>
          <w:szCs w:val="20"/>
          <w:color w:val="auto"/>
        </w:rPr>
      </w:pPr>
      <w:r>
        <w:rPr>
          <w:rFonts w:ascii="Times New Roman" w:cs="Times New Roman" w:eastAsia="Times New Roman" w:hAnsi="Times New Roman"/>
          <w:sz w:val="12"/>
          <w:szCs w:val="12"/>
          <w:b w:val="1"/>
          <w:bCs w:val="1"/>
          <w:color w:val="auto"/>
        </w:rPr>
        <w:t>C. William Griffin</w:t>
      </w:r>
    </w:p>
    <w:p>
      <w:pPr>
        <w:ind w:left="200"/>
        <w:spacing w:after="0"/>
        <w:rPr>
          <w:sz w:val="20"/>
          <w:szCs w:val="20"/>
          <w:color w:val="auto"/>
        </w:rPr>
      </w:pPr>
      <w:r>
        <w:rPr>
          <w:rFonts w:ascii="Times New Roman" w:cs="Times New Roman" w:eastAsia="Times New Roman" w:hAnsi="Times New Roman"/>
          <w:sz w:val="12"/>
          <w:szCs w:val="12"/>
          <w:b w:val="1"/>
          <w:bCs w:val="1"/>
          <w:color w:val="auto"/>
        </w:rPr>
        <w:t>Timothy W. Jay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Compensation Committee Interlocks and Insider Participation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Summary Compensation Table for 2024</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provides information regarding the compensation earned by our named executive officers in respect of the applicable fiscal years set forth below.</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2"/>
                <w:szCs w:val="12"/>
                <w:b w:val="1"/>
                <w:bCs w:val="1"/>
                <w:color w:val="auto"/>
              </w:rPr>
              <w:t>Salary</w:t>
            </w:r>
          </w:p>
        </w:tc>
        <w:tc>
          <w:tcPr>
            <w:tcW w:w="15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2"/>
                <w:szCs w:val="12"/>
                <w:b w:val="1"/>
                <w:bCs w:val="1"/>
                <w:color w:val="auto"/>
              </w:rPr>
              <w:t>Bonus</w:t>
            </w:r>
          </w:p>
        </w:tc>
        <w:tc>
          <w:tcPr>
            <w:tcW w:w="148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2"/>
                <w:szCs w:val="12"/>
                <w:b w:val="1"/>
                <w:bCs w:val="1"/>
                <w:color w:val="auto"/>
              </w:rPr>
              <w:t>All Other</w:t>
            </w:r>
          </w:p>
        </w:tc>
        <w:tc>
          <w:tcPr>
            <w:tcW w:w="1380" w:type="dxa"/>
            <w:vAlign w:val="bottom"/>
            <w:vMerge w:val="restart"/>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7"/>
        </w:trPr>
        <w:tc>
          <w:tcPr>
            <w:tcW w:w="30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2"/>
                <w:szCs w:val="12"/>
                <w:b w:val="1"/>
                <w:bCs w:val="1"/>
                <w:color w:val="auto"/>
              </w:rPr>
              <w:t>Name and Principal Position</w:t>
            </w:r>
          </w:p>
        </w:tc>
        <w:tc>
          <w:tcPr>
            <w:tcW w:w="8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2"/>
                <w:szCs w:val="12"/>
                <w:b w:val="1"/>
                <w:bCs w:val="1"/>
                <w:color w:val="auto"/>
              </w:rPr>
              <w:t>Year</w:t>
            </w:r>
          </w:p>
        </w:tc>
        <w:tc>
          <w:tcPr>
            <w:tcW w:w="1500" w:type="dxa"/>
            <w:vAlign w:val="bottom"/>
            <w:gridSpan w:val="2"/>
            <w:vMerge w:val="continue"/>
          </w:tcPr>
          <w:p>
            <w:pPr>
              <w:spacing w:after="0"/>
              <w:rPr>
                <w:sz w:val="10"/>
                <w:szCs w:val="10"/>
                <w:color w:val="auto"/>
              </w:rPr>
            </w:pPr>
          </w:p>
        </w:tc>
        <w:tc>
          <w:tcPr>
            <w:tcW w:w="1500" w:type="dxa"/>
            <w:vAlign w:val="bottom"/>
            <w:gridSpan w:val="2"/>
            <w:vMerge w:val="continue"/>
          </w:tcPr>
          <w:p>
            <w:pPr>
              <w:spacing w:after="0"/>
              <w:rPr>
                <w:sz w:val="10"/>
                <w:szCs w:val="10"/>
                <w:color w:val="auto"/>
              </w:rPr>
            </w:pPr>
          </w:p>
        </w:tc>
        <w:tc>
          <w:tcPr>
            <w:tcW w:w="148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12"/>
                <w:szCs w:val="12"/>
                <w:b w:val="1"/>
                <w:bCs w:val="1"/>
                <w:color w:val="auto"/>
                <w:w w:val="94"/>
              </w:rPr>
              <w:t>Awards</w:t>
            </w:r>
          </w:p>
        </w:tc>
        <w:tc>
          <w:tcPr>
            <w:tcW w:w="150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2"/>
                <w:szCs w:val="12"/>
                <w:b w:val="1"/>
                <w:bCs w:val="1"/>
                <w:color w:val="auto"/>
                <w:w w:val="99"/>
              </w:rPr>
              <w:t>Compensation</w:t>
            </w:r>
          </w:p>
        </w:tc>
        <w:tc>
          <w:tcPr>
            <w:tcW w:w="13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0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36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w:t>
            </w:r>
          </w:p>
        </w:tc>
        <w:tc>
          <w:tcPr>
            <w:tcW w:w="140" w:type="dxa"/>
            <w:vAlign w:val="bottom"/>
          </w:tcPr>
          <w:p>
            <w:pPr>
              <w:spacing w:after="0"/>
              <w:rPr>
                <w:sz w:val="14"/>
                <w:szCs w:val="14"/>
                <w:color w:val="auto"/>
              </w:rPr>
            </w:pPr>
          </w:p>
        </w:tc>
        <w:tc>
          <w:tcPr>
            <w:tcW w:w="1340" w:type="dxa"/>
            <w:vAlign w:val="bottom"/>
          </w:tcPr>
          <w:p>
            <w:pPr>
              <w:jc w:val="right"/>
              <w:ind w:right="500"/>
              <w:spacing w:after="0" w:line="162"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5"/>
                <w:szCs w:val="15"/>
                <w:b w:val="1"/>
                <w:bCs w:val="1"/>
                <w:color w:val="auto"/>
                <w:vertAlign w:val="superscript"/>
              </w:rPr>
              <w:t>(2)</w:t>
            </w:r>
          </w:p>
        </w:tc>
        <w:tc>
          <w:tcPr>
            <w:tcW w:w="160" w:type="dxa"/>
            <w:vAlign w:val="bottom"/>
          </w:tcPr>
          <w:p>
            <w:pPr>
              <w:spacing w:after="0"/>
              <w:rPr>
                <w:sz w:val="14"/>
                <w:szCs w:val="14"/>
                <w:color w:val="auto"/>
              </w:rPr>
            </w:pPr>
          </w:p>
        </w:tc>
        <w:tc>
          <w:tcPr>
            <w:tcW w:w="1340" w:type="dxa"/>
            <w:vAlign w:val="bottom"/>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99"/>
                <w:vertAlign w:val="subscript"/>
              </w:rPr>
              <w:t>($)</w:t>
            </w:r>
            <w:r>
              <w:rPr>
                <w:rFonts w:ascii="Times New Roman" w:cs="Times New Roman" w:eastAsia="Times New Roman" w:hAnsi="Times New Roman"/>
                <w:sz w:val="7"/>
                <w:szCs w:val="7"/>
                <w:b w:val="1"/>
                <w:bCs w:val="1"/>
                <w:color w:val="auto"/>
                <w:w w:val="99"/>
              </w:rPr>
              <w:t>(3)</w:t>
            </w:r>
          </w:p>
        </w:tc>
        <w:tc>
          <w:tcPr>
            <w:tcW w:w="14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40" w:type="dxa"/>
            <w:vAlign w:val="bottom"/>
          </w:tcPr>
          <w:p>
            <w:pPr>
              <w:spacing w:after="0"/>
              <w:rPr>
                <w:sz w:val="14"/>
                <w:szCs w:val="14"/>
                <w:color w:val="auto"/>
              </w:rPr>
            </w:pPr>
          </w:p>
        </w:tc>
        <w:tc>
          <w:tcPr>
            <w:tcW w:w="1380" w:type="dxa"/>
            <w:vAlign w:val="bottom"/>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w:t>
            </w:r>
          </w:p>
        </w:tc>
        <w:tc>
          <w:tcPr>
            <w:tcW w:w="0" w:type="dxa"/>
            <w:vAlign w:val="bottom"/>
          </w:tcPr>
          <w:p>
            <w:pPr>
              <w:spacing w:after="0"/>
              <w:rPr>
                <w:sz w:val="1"/>
                <w:szCs w:val="1"/>
                <w:color w:val="auto"/>
              </w:rPr>
            </w:pPr>
          </w:p>
        </w:tc>
      </w:tr>
      <w:tr>
        <w:trPr>
          <w:trHeight w:val="106"/>
        </w:trPr>
        <w:tc>
          <w:tcPr>
            <w:tcW w:w="2920" w:type="dxa"/>
            <w:vAlign w:val="bottom"/>
            <w:tcBorders>
              <w:top w:val="single" w:sz="8" w:color="auto"/>
            </w:tcBorders>
            <w:shd w:val="clear" w:color="auto" w:fill="CCEEFF"/>
          </w:tcPr>
          <w:p>
            <w:pPr>
              <w:spacing w:after="0" w:line="106" w:lineRule="exact"/>
              <w:rPr>
                <w:sz w:val="20"/>
                <w:szCs w:val="20"/>
                <w:color w:val="auto"/>
              </w:rPr>
            </w:pPr>
            <w:r>
              <w:rPr>
                <w:rFonts w:ascii="Times New Roman" w:cs="Times New Roman" w:eastAsia="Times New Roman" w:hAnsi="Times New Roman"/>
                <w:sz w:val="12"/>
                <w:szCs w:val="12"/>
                <w:b w:val="1"/>
                <w:bCs w:val="1"/>
                <w:color w:val="auto"/>
              </w:rPr>
              <w:t xml:space="preserve">Wesley R. Edens </w:t>
            </w: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2024</w:t>
            </w:r>
          </w:p>
        </w:tc>
        <w:tc>
          <w:tcPr>
            <w:tcW w:w="140" w:type="dxa"/>
            <w:vAlign w:val="bottom"/>
            <w:tcBorders>
              <w:top w:val="single" w:sz="8" w:color="CCEEFF"/>
            </w:tcBorders>
            <w:shd w:val="clear" w:color="auto" w:fill="CCEEFF"/>
          </w:tcPr>
          <w:p>
            <w:pPr>
              <w:spacing w:after="0"/>
              <w:rPr>
                <w:sz w:val="9"/>
                <w:szCs w:val="9"/>
                <w:color w:val="auto"/>
              </w:rPr>
            </w:pPr>
          </w:p>
        </w:tc>
        <w:tc>
          <w:tcPr>
            <w:tcW w:w="136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134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CCEEFF"/>
            </w:tcBorders>
            <w:shd w:val="clear" w:color="auto" w:fill="CCEEFF"/>
          </w:tcPr>
          <w:p>
            <w:pPr>
              <w:spacing w:after="0"/>
              <w:rPr>
                <w:sz w:val="9"/>
                <w:szCs w:val="9"/>
                <w:color w:val="auto"/>
              </w:rPr>
            </w:pPr>
          </w:p>
        </w:tc>
        <w:tc>
          <w:tcPr>
            <w:tcW w:w="134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1360" w:type="dxa"/>
            <w:vAlign w:val="bottom"/>
            <w:tcBorders>
              <w:top w:val="single" w:sz="8" w:color="auto"/>
            </w:tcBorders>
            <w:shd w:val="clear" w:color="auto" w:fill="CCEEFF"/>
          </w:tcPr>
          <w:p>
            <w:pPr>
              <w:ind w:left="1200"/>
              <w:spacing w:after="0" w:line="106" w:lineRule="exact"/>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9"/>
                <w:szCs w:val="9"/>
                <w:color w:val="auto"/>
              </w:rPr>
            </w:pPr>
          </w:p>
        </w:tc>
        <w:tc>
          <w:tcPr>
            <w:tcW w:w="1380" w:type="dxa"/>
            <w:vAlign w:val="bottom"/>
            <w:tcBorders>
              <w:top w:val="single" w:sz="8" w:color="auto"/>
            </w:tcBorders>
            <w:shd w:val="clear" w:color="auto" w:fill="CCEEFF"/>
          </w:tcPr>
          <w:p>
            <w:pPr>
              <w:jc w:val="right"/>
              <w:spacing w:after="0" w:line="106"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3060" w:type="dxa"/>
            <w:vAlign w:val="bottom"/>
            <w:gridSpan w:val="2"/>
            <w:shd w:val="clear" w:color="auto" w:fill="CCEEFF"/>
          </w:tcPr>
          <w:p>
            <w:pPr>
              <w:spacing w:after="0" w:line="162" w:lineRule="exact"/>
              <w:rPr>
                <w:sz w:val="20"/>
                <w:szCs w:val="20"/>
                <w:color w:val="auto"/>
              </w:rPr>
            </w:pPr>
            <w:r>
              <w:rPr>
                <w:rFonts w:ascii="Times New Roman" w:cs="Times New Roman" w:eastAsia="Times New Roman" w:hAnsi="Times New Roman"/>
                <w:sz w:val="12"/>
                <w:szCs w:val="12"/>
                <w:i w:val="1"/>
                <w:iCs w:val="1"/>
                <w:color w:val="auto"/>
              </w:rPr>
              <w:t>Chief Executive Officer</w:t>
            </w:r>
            <w:r>
              <w:rPr>
                <w:rFonts w:ascii="Times New Roman" w:cs="Times New Roman" w:eastAsia="Times New Roman" w:hAnsi="Times New Roman"/>
                <w:sz w:val="15"/>
                <w:szCs w:val="15"/>
                <w:i w:val="1"/>
                <w:iCs w:val="1"/>
                <w:color w:val="auto"/>
                <w:vertAlign w:val="superscript"/>
              </w:rPr>
              <w:t>(1)</w:t>
            </w: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140" w:type="dxa"/>
            <w:vAlign w:val="bottom"/>
          </w:tcPr>
          <w:p>
            <w:pPr>
              <w:spacing w:after="0"/>
              <w:rPr>
                <w:sz w:val="13"/>
                <w:szCs w:val="13"/>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2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14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17"/>
        </w:trPr>
        <w:tc>
          <w:tcPr>
            <w:tcW w:w="306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 xml:space="preserve">Christopher S. Guinta </w:t>
            </w:r>
            <w:r>
              <w:rPr>
                <w:rFonts w:ascii="Times New Roman" w:cs="Times New Roman" w:eastAsia="Times New Roman" w:hAnsi="Times New Roman"/>
                <w:sz w:val="12"/>
                <w:szCs w:val="12"/>
                <w:color w:val="auto"/>
              </w:rPr>
              <w:t>—</w:t>
            </w: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2024</w:t>
            </w:r>
          </w:p>
        </w:tc>
        <w:tc>
          <w:tcPr>
            <w:tcW w:w="140" w:type="dxa"/>
            <w:vAlign w:val="bottom"/>
          </w:tcPr>
          <w:p>
            <w:pPr>
              <w:spacing w:after="0"/>
              <w:rPr>
                <w:sz w:val="10"/>
                <w:szCs w:val="10"/>
                <w:color w:val="auto"/>
              </w:rPr>
            </w:pPr>
          </w:p>
        </w:tc>
        <w:tc>
          <w:tcPr>
            <w:tcW w:w="136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350,000</w:t>
            </w:r>
          </w:p>
        </w:tc>
        <w:tc>
          <w:tcPr>
            <w:tcW w:w="140" w:type="dxa"/>
            <w:vAlign w:val="bottom"/>
          </w:tcPr>
          <w:p>
            <w:pPr>
              <w:spacing w:after="0"/>
              <w:rPr>
                <w:sz w:val="10"/>
                <w:szCs w:val="10"/>
                <w:color w:val="auto"/>
              </w:rPr>
            </w:pPr>
          </w:p>
        </w:tc>
        <w:tc>
          <w:tcPr>
            <w:tcW w:w="13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6,000,000</w:t>
            </w:r>
          </w:p>
        </w:tc>
        <w:tc>
          <w:tcPr>
            <w:tcW w:w="160" w:type="dxa"/>
            <w:vAlign w:val="bottom"/>
          </w:tcPr>
          <w:p>
            <w:pPr>
              <w:spacing w:after="0"/>
              <w:rPr>
                <w:sz w:val="10"/>
                <w:szCs w:val="10"/>
                <w:color w:val="auto"/>
              </w:rPr>
            </w:pPr>
          </w:p>
        </w:tc>
        <w:tc>
          <w:tcPr>
            <w:tcW w:w="13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5,300,718</w:t>
            </w:r>
          </w:p>
        </w:tc>
        <w:tc>
          <w:tcPr>
            <w:tcW w:w="140" w:type="dxa"/>
            <w:vAlign w:val="bottom"/>
          </w:tcPr>
          <w:p>
            <w:pPr>
              <w:spacing w:after="0"/>
              <w:rPr>
                <w:sz w:val="10"/>
                <w:szCs w:val="10"/>
                <w:color w:val="auto"/>
              </w:rPr>
            </w:pPr>
          </w:p>
        </w:tc>
        <w:tc>
          <w:tcPr>
            <w:tcW w:w="1500" w:type="dxa"/>
            <w:vAlign w:val="bottom"/>
            <w:gridSpan w:val="2"/>
          </w:tcPr>
          <w:p>
            <w:pPr>
              <w:ind w:left="1200"/>
              <w:spacing w:after="0" w:line="117" w:lineRule="exact"/>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11,650,718</w:t>
            </w:r>
          </w:p>
        </w:tc>
        <w:tc>
          <w:tcPr>
            <w:tcW w:w="0" w:type="dxa"/>
            <w:vAlign w:val="bottom"/>
          </w:tcPr>
          <w:p>
            <w:pPr>
              <w:spacing w:after="0"/>
              <w:rPr>
                <w:sz w:val="1"/>
                <w:szCs w:val="1"/>
                <w:color w:val="auto"/>
              </w:rPr>
            </w:pPr>
          </w:p>
        </w:tc>
      </w:tr>
      <w:tr>
        <w:trPr>
          <w:trHeight w:val="159"/>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Chief Financial Officer</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350,000</w:t>
            </w: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1,650,000</w:t>
            </w:r>
          </w:p>
        </w:tc>
        <w:tc>
          <w:tcPr>
            <w:tcW w:w="160" w:type="dxa"/>
            <w:vAlign w:val="bottom"/>
            <w:shd w:val="clear" w:color="auto" w:fill="CCEEFF"/>
          </w:tcPr>
          <w:p>
            <w:pPr>
              <w:spacing w:after="0"/>
              <w:rPr>
                <w:sz w:val="13"/>
                <w:szCs w:val="13"/>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2,000,000</w:t>
            </w:r>
          </w:p>
        </w:tc>
        <w:tc>
          <w:tcPr>
            <w:tcW w:w="0" w:type="dxa"/>
            <w:vAlign w:val="bottom"/>
          </w:tcPr>
          <w:p>
            <w:pPr>
              <w:spacing w:after="0"/>
              <w:rPr>
                <w:sz w:val="1"/>
                <w:szCs w:val="1"/>
                <w:color w:val="auto"/>
              </w:rPr>
            </w:pPr>
          </w:p>
        </w:tc>
      </w:tr>
      <w:tr>
        <w:trPr>
          <w:trHeight w:val="153"/>
        </w:trPr>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350,000</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1,650,000</w:t>
            </w:r>
          </w:p>
        </w:tc>
        <w:tc>
          <w:tcPr>
            <w:tcW w:w="1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3,075,008</w:t>
            </w:r>
          </w:p>
        </w:tc>
        <w:tc>
          <w:tcPr>
            <w:tcW w:w="140" w:type="dxa"/>
            <w:vAlign w:val="bottom"/>
          </w:tcPr>
          <w:p>
            <w:pPr>
              <w:spacing w:after="0"/>
              <w:rPr>
                <w:sz w:val="13"/>
                <w:szCs w:val="13"/>
                <w:color w:val="auto"/>
              </w:rPr>
            </w:pP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5,075,008</w:t>
            </w:r>
          </w:p>
        </w:tc>
        <w:tc>
          <w:tcPr>
            <w:tcW w:w="0" w:type="dxa"/>
            <w:vAlign w:val="bottom"/>
          </w:tcPr>
          <w:p>
            <w:pPr>
              <w:spacing w:after="0"/>
              <w:rPr>
                <w:sz w:val="1"/>
                <w:szCs w:val="1"/>
                <w:color w:val="auto"/>
              </w:rPr>
            </w:pPr>
          </w:p>
        </w:tc>
      </w:tr>
      <w:tr>
        <w:trPr>
          <w:trHeight w:val="117"/>
        </w:trPr>
        <w:tc>
          <w:tcPr>
            <w:tcW w:w="3060" w:type="dxa"/>
            <w:vAlign w:val="bottom"/>
            <w:gridSpan w:val="2"/>
            <w:shd w:val="clear" w:color="auto" w:fill="CCEEFF"/>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 xml:space="preserve">Yunyoung Shin </w:t>
            </w: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2024</w:t>
            </w:r>
          </w:p>
        </w:tc>
        <w:tc>
          <w:tcPr>
            <w:tcW w:w="140" w:type="dxa"/>
            <w:vAlign w:val="bottom"/>
            <w:shd w:val="clear" w:color="auto" w:fill="CCEEFF"/>
          </w:tcPr>
          <w:p>
            <w:pPr>
              <w:spacing w:after="0"/>
              <w:rPr>
                <w:sz w:val="10"/>
                <w:szCs w:val="10"/>
                <w:color w:val="auto"/>
              </w:rPr>
            </w:pPr>
          </w:p>
        </w:tc>
        <w:tc>
          <w:tcPr>
            <w:tcW w:w="136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250,000</w:t>
            </w:r>
          </w:p>
        </w:tc>
        <w:tc>
          <w:tcPr>
            <w:tcW w:w="140" w:type="dxa"/>
            <w:vAlign w:val="bottom"/>
            <w:shd w:val="clear" w:color="auto" w:fill="CCEEFF"/>
          </w:tcPr>
          <w:p>
            <w:pPr>
              <w:spacing w:after="0"/>
              <w:rPr>
                <w:sz w:val="10"/>
                <w:szCs w:val="10"/>
                <w:color w:val="auto"/>
              </w:rPr>
            </w:pPr>
          </w:p>
        </w:tc>
        <w:tc>
          <w:tcPr>
            <w:tcW w:w="13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1,500,000</w:t>
            </w:r>
          </w:p>
        </w:tc>
        <w:tc>
          <w:tcPr>
            <w:tcW w:w="160" w:type="dxa"/>
            <w:vAlign w:val="bottom"/>
            <w:shd w:val="clear" w:color="auto" w:fill="CCEEFF"/>
          </w:tcPr>
          <w:p>
            <w:pPr>
              <w:spacing w:after="0"/>
              <w:rPr>
                <w:sz w:val="10"/>
                <w:szCs w:val="10"/>
                <w:color w:val="auto"/>
              </w:rPr>
            </w:pPr>
          </w:p>
        </w:tc>
        <w:tc>
          <w:tcPr>
            <w:tcW w:w="134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3,636,299</w:t>
            </w:r>
          </w:p>
        </w:tc>
        <w:tc>
          <w:tcPr>
            <w:tcW w:w="140" w:type="dxa"/>
            <w:vAlign w:val="bottom"/>
            <w:shd w:val="clear" w:color="auto" w:fill="CCEEFF"/>
          </w:tcPr>
          <w:p>
            <w:pPr>
              <w:spacing w:after="0"/>
              <w:rPr>
                <w:sz w:val="10"/>
                <w:szCs w:val="10"/>
                <w:color w:val="auto"/>
              </w:rPr>
            </w:pPr>
          </w:p>
        </w:tc>
        <w:tc>
          <w:tcPr>
            <w:tcW w:w="1500" w:type="dxa"/>
            <w:vAlign w:val="bottom"/>
            <w:gridSpan w:val="2"/>
            <w:shd w:val="clear" w:color="auto" w:fill="CCEEFF"/>
          </w:tcPr>
          <w:p>
            <w:pPr>
              <w:ind w:left="1200"/>
              <w:spacing w:after="0" w:line="117" w:lineRule="exact"/>
              <w:rPr>
                <w:sz w:val="20"/>
                <w:szCs w:val="20"/>
                <w:color w:val="auto"/>
              </w:rPr>
            </w:pPr>
            <w:r>
              <w:rPr>
                <w:rFonts w:ascii="Times New Roman" w:cs="Times New Roman" w:eastAsia="Times New Roman" w:hAnsi="Times New Roman"/>
                <w:sz w:val="12"/>
                <w:szCs w:val="12"/>
                <w:color w:val="auto"/>
              </w:rPr>
              <w:t>—</w:t>
            </w:r>
          </w:p>
        </w:tc>
        <w:tc>
          <w:tcPr>
            <w:tcW w:w="138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2"/>
                <w:szCs w:val="12"/>
                <w:color w:val="auto"/>
              </w:rPr>
              <w:t>5,386,299</w:t>
            </w:r>
          </w:p>
        </w:tc>
        <w:tc>
          <w:tcPr>
            <w:tcW w:w="0" w:type="dxa"/>
            <w:vAlign w:val="bottom"/>
          </w:tcPr>
          <w:p>
            <w:pPr>
              <w:spacing w:after="0"/>
              <w:rPr>
                <w:sz w:val="1"/>
                <w:szCs w:val="1"/>
                <w:color w:val="auto"/>
              </w:rPr>
            </w:pPr>
          </w:p>
        </w:tc>
      </w:tr>
      <w:tr>
        <w:trPr>
          <w:trHeight w:val="162"/>
        </w:trPr>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i w:val="1"/>
                <w:iCs w:val="1"/>
                <w:color w:val="auto"/>
              </w:rPr>
              <w:t>Chief Accounting Officer</w:t>
            </w: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14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250,000</w:t>
            </w:r>
          </w:p>
        </w:tc>
        <w:tc>
          <w:tcPr>
            <w:tcW w:w="14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850,000</w:t>
            </w:r>
          </w:p>
        </w:tc>
        <w:tc>
          <w:tcPr>
            <w:tcW w:w="160" w:type="dxa"/>
            <w:vAlign w:val="bottom"/>
          </w:tcPr>
          <w:p>
            <w:pPr>
              <w:spacing w:after="0"/>
              <w:rPr>
                <w:sz w:val="13"/>
                <w:szCs w:val="13"/>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1,100,000</w:t>
            </w:r>
          </w:p>
        </w:tc>
        <w:tc>
          <w:tcPr>
            <w:tcW w:w="0" w:type="dxa"/>
            <w:vAlign w:val="bottom"/>
          </w:tcPr>
          <w:p>
            <w:pPr>
              <w:spacing w:after="0"/>
              <w:rPr>
                <w:sz w:val="1"/>
                <w:szCs w:val="1"/>
                <w:color w:val="auto"/>
              </w:rPr>
            </w:pPr>
          </w:p>
        </w:tc>
      </w:tr>
      <w:tr>
        <w:trPr>
          <w:trHeight w:val="153"/>
        </w:trPr>
        <w:tc>
          <w:tcPr>
            <w:tcW w:w="29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2022</w:t>
            </w: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250,000</w:t>
            </w:r>
          </w:p>
        </w:tc>
        <w:tc>
          <w:tcPr>
            <w:tcW w:w="14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850,000</w:t>
            </w:r>
          </w:p>
        </w:tc>
        <w:tc>
          <w:tcPr>
            <w:tcW w:w="16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2,050,021</w:t>
            </w:r>
          </w:p>
        </w:tc>
        <w:tc>
          <w:tcPr>
            <w:tcW w:w="14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3,150,021</w:t>
            </w:r>
          </w:p>
        </w:tc>
        <w:tc>
          <w:tcPr>
            <w:tcW w:w="0" w:type="dxa"/>
            <w:vAlign w:val="bottom"/>
          </w:tcPr>
          <w:p>
            <w:pPr>
              <w:spacing w:after="0"/>
              <w:rPr>
                <w:sz w:val="1"/>
                <w:szCs w:val="1"/>
                <w:color w:val="auto"/>
              </w:rPr>
            </w:pPr>
          </w:p>
        </w:tc>
      </w:tr>
      <w:tr>
        <w:trPr>
          <w:trHeight w:val="117"/>
        </w:trPr>
        <w:tc>
          <w:tcPr>
            <w:tcW w:w="3060" w:type="dxa"/>
            <w:vAlign w:val="bottom"/>
            <w:gridSpan w:val="2"/>
          </w:tcPr>
          <w:p>
            <w:pPr>
              <w:spacing w:after="0" w:line="117" w:lineRule="exact"/>
              <w:rPr>
                <w:sz w:val="20"/>
                <w:szCs w:val="20"/>
                <w:color w:val="auto"/>
              </w:rPr>
            </w:pPr>
            <w:r>
              <w:rPr>
                <w:rFonts w:ascii="Times New Roman" w:cs="Times New Roman" w:eastAsia="Times New Roman" w:hAnsi="Times New Roman"/>
                <w:sz w:val="12"/>
                <w:szCs w:val="12"/>
                <w:b w:val="1"/>
                <w:bCs w:val="1"/>
                <w:color w:val="auto"/>
              </w:rPr>
              <w:t xml:space="preserve">Andrew Dete </w:t>
            </w:r>
            <w:r>
              <w:rPr>
                <w:rFonts w:ascii="Times New Roman" w:cs="Times New Roman" w:eastAsia="Times New Roman" w:hAnsi="Times New Roman"/>
                <w:sz w:val="12"/>
                <w:szCs w:val="12"/>
                <w:color w:val="auto"/>
              </w:rPr>
              <w:t>—</w:t>
            </w:r>
          </w:p>
        </w:tc>
        <w:tc>
          <w:tcPr>
            <w:tcW w:w="7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2024</w:t>
            </w:r>
          </w:p>
        </w:tc>
        <w:tc>
          <w:tcPr>
            <w:tcW w:w="140" w:type="dxa"/>
            <w:vAlign w:val="bottom"/>
          </w:tcPr>
          <w:p>
            <w:pPr>
              <w:spacing w:after="0"/>
              <w:rPr>
                <w:sz w:val="10"/>
                <w:szCs w:val="10"/>
                <w:color w:val="auto"/>
              </w:rPr>
            </w:pPr>
          </w:p>
        </w:tc>
        <w:tc>
          <w:tcPr>
            <w:tcW w:w="136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250,000</w:t>
            </w:r>
          </w:p>
        </w:tc>
        <w:tc>
          <w:tcPr>
            <w:tcW w:w="140" w:type="dxa"/>
            <w:vAlign w:val="bottom"/>
          </w:tcPr>
          <w:p>
            <w:pPr>
              <w:spacing w:after="0"/>
              <w:rPr>
                <w:sz w:val="10"/>
                <w:szCs w:val="10"/>
                <w:color w:val="auto"/>
              </w:rPr>
            </w:pPr>
          </w:p>
        </w:tc>
        <w:tc>
          <w:tcPr>
            <w:tcW w:w="13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3,500,000</w:t>
            </w:r>
          </w:p>
        </w:tc>
        <w:tc>
          <w:tcPr>
            <w:tcW w:w="160" w:type="dxa"/>
            <w:vAlign w:val="bottom"/>
          </w:tcPr>
          <w:p>
            <w:pPr>
              <w:spacing w:after="0"/>
              <w:rPr>
                <w:sz w:val="10"/>
                <w:szCs w:val="10"/>
                <w:color w:val="auto"/>
              </w:rPr>
            </w:pPr>
          </w:p>
        </w:tc>
        <w:tc>
          <w:tcPr>
            <w:tcW w:w="134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42,503,501</w:t>
            </w:r>
          </w:p>
        </w:tc>
        <w:tc>
          <w:tcPr>
            <w:tcW w:w="140" w:type="dxa"/>
            <w:vAlign w:val="bottom"/>
          </w:tcPr>
          <w:p>
            <w:pPr>
              <w:spacing w:after="0"/>
              <w:rPr>
                <w:sz w:val="10"/>
                <w:szCs w:val="10"/>
                <w:color w:val="auto"/>
              </w:rPr>
            </w:pPr>
          </w:p>
        </w:tc>
        <w:tc>
          <w:tcPr>
            <w:tcW w:w="1500" w:type="dxa"/>
            <w:vAlign w:val="bottom"/>
            <w:gridSpan w:val="2"/>
          </w:tcPr>
          <w:p>
            <w:pPr>
              <w:ind w:left="1200"/>
              <w:spacing w:after="0" w:line="117" w:lineRule="exact"/>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spacing w:after="0" w:line="117" w:lineRule="exact"/>
              <w:rPr>
                <w:sz w:val="20"/>
                <w:szCs w:val="20"/>
                <w:color w:val="auto"/>
              </w:rPr>
            </w:pPr>
            <w:r>
              <w:rPr>
                <w:rFonts w:ascii="Times New Roman" w:cs="Times New Roman" w:eastAsia="Times New Roman" w:hAnsi="Times New Roman"/>
                <w:sz w:val="12"/>
                <w:szCs w:val="12"/>
                <w:color w:val="auto"/>
              </w:rPr>
              <w:t>46,253,501</w:t>
            </w:r>
          </w:p>
        </w:tc>
        <w:tc>
          <w:tcPr>
            <w:tcW w:w="0" w:type="dxa"/>
            <w:vAlign w:val="bottom"/>
          </w:tcPr>
          <w:p>
            <w:pPr>
              <w:spacing w:after="0"/>
              <w:rPr>
                <w:sz w:val="1"/>
                <w:szCs w:val="1"/>
                <w:color w:val="auto"/>
              </w:rPr>
            </w:pPr>
          </w:p>
        </w:tc>
      </w:tr>
      <w:tr>
        <w:trPr>
          <w:trHeight w:val="157"/>
        </w:trPr>
        <w:tc>
          <w:tcPr>
            <w:tcW w:w="306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President</w:t>
            </w: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25" w:name="page26"/>
    <w:bookmarkEnd w:id="25"/>
    <w:p>
      <w:pPr>
        <w:ind w:left="420" w:hanging="416"/>
        <w:spacing w:after="0"/>
        <w:tabs>
          <w:tab w:leader="none" w:pos="420" w:val="left"/>
        </w:tabs>
        <w:numPr>
          <w:ilvl w:val="0"/>
          <w:numId w:val="1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As described more fully above, this table does not include information regarding compensation paid to Mr. Edens because Mr. Edens does not receive any compensation from any party for services rendered to us.</w:t>
      </w:r>
    </w:p>
    <w:p>
      <w:pPr>
        <w:spacing w:after="0" w:line="92" w:lineRule="exact"/>
        <w:rPr>
          <w:rFonts w:ascii="Times New Roman" w:cs="Times New Roman" w:eastAsia="Times New Roman" w:hAnsi="Times New Roman"/>
          <w:sz w:val="12"/>
          <w:szCs w:val="12"/>
          <w:color w:val="auto"/>
          <w:vertAlign w:val="superscript"/>
        </w:rPr>
      </w:pPr>
    </w:p>
    <w:p>
      <w:pPr>
        <w:ind w:left="420" w:right="60" w:hanging="416"/>
        <w:spacing w:after="0" w:line="202" w:lineRule="auto"/>
        <w:tabs>
          <w:tab w:leader="none" w:pos="420" w:val="left"/>
        </w:tabs>
        <w:numPr>
          <w:ilvl w:val="0"/>
          <w:numId w:val="1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amounts in this column represent the cash discretionary annual bonuses for the respective periods awarded pursuant to our discretionary annual cash bonus program. For additional information regarding potential bonuses, see “Elements of our Executive Compensation Program —Annual Cash Bonuses” above.</w:t>
      </w:r>
    </w:p>
    <w:p>
      <w:pPr>
        <w:spacing w:after="0" w:line="84" w:lineRule="exact"/>
        <w:rPr>
          <w:rFonts w:ascii="Times New Roman" w:cs="Times New Roman" w:eastAsia="Times New Roman" w:hAnsi="Times New Roman"/>
          <w:sz w:val="12"/>
          <w:szCs w:val="12"/>
          <w:color w:val="auto"/>
          <w:vertAlign w:val="superscript"/>
        </w:rPr>
      </w:pPr>
    </w:p>
    <w:p>
      <w:pPr>
        <w:ind w:left="420" w:right="100" w:hanging="416"/>
        <w:spacing w:after="0" w:line="204" w:lineRule="auto"/>
        <w:tabs>
          <w:tab w:leader="none" w:pos="420" w:val="left"/>
        </w:tabs>
        <w:numPr>
          <w:ilvl w:val="0"/>
          <w:numId w:val="1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amounts in this column reflect the aggregate grant date value of awards made during the applicable calendar year computed in accordance with FASB ASC Topic 718. For a summary of the assumptions made in the valuation of the time-vesting RSUs and other equity awards granted in 2024, please see Note 26 of our audited consolidated financial statements in the 2024 Form 10-K. Based on the closing price of $4.96 for our Series A Common Stock on April 21, 2025 (the date the Series A Common Stock underlying the RSUs that vested on January 2, 2025 was delivered to Ms. Shin and Mr. Dete), the market value of the RSUs that they were granted on March 11, 2024 was $552,236 and $2,358,885, respectively. Mr. Dete forfeited 205,883 RSUs upon his cessation of employment on January 2, 2025. Mr. Guinta has not yet received the delivery of Series A Common Stock underlying the RSUs that vested on January 2, 2025, but the market value of the RSUs he was granted on March 11, 2024 would have been $805,008 on April 21, 2025.</w:t>
      </w:r>
    </w:p>
    <w:p>
      <w:pPr>
        <w:spacing w:after="0" w:line="138" w:lineRule="exact"/>
        <w:rPr>
          <w:rFonts w:ascii="Times New Roman" w:cs="Times New Roman" w:eastAsia="Times New Roman" w:hAnsi="Times New Roman"/>
          <w:sz w:val="12"/>
          <w:szCs w:val="12"/>
          <w:color w:val="auto"/>
          <w:vertAlign w:val="superscript"/>
        </w:rPr>
      </w:pPr>
    </w:p>
    <w:p>
      <w:pPr>
        <w:ind w:left="420" w:right="20"/>
        <w:spacing w:after="0" w:line="213" w:lineRule="auto"/>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On May 22, 2024, Mr. Dete was granted a time-vesting equity award that will settle in shares of a subsidiary owning the Company's Brazilian operations (“Brazilco”). 25% of the equity award vested on March 31, 2025, 25% of the equity award will vest on March 31, 2026, and 50% of the equity award will vest on March 31, 2027. As this equity award will not be settled in NFE shares, the number of shares of Brazilco underlying the equity award is not comparable to other awards granted to our named executive officers in 2024 and reflects approximately 1.67% of the equity ownership of Brazilco. There is no trading market for the shares of Brazilco and the amounts reflected in the table above for the equity award include assumptions related to Brazilco eventually becoming a publicly traded entity. There is no assurance that Brazilco will ever be a public company or that a trading market for the shares of Brazilco will ever develop. If such a trading market for the shares does not develop, the shares may be worth significantly less than the value reflected in the table above. The value reflected in the table above also does not include an estimate of the forfeitures should Mr. Dete’s fail to satisfy the remaining vesting requirements which would result in the forfeiture of 75% of his equity award.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Grants of Plan-Based Awards for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2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Number of shares underlying</w:t>
            </w: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Grant date fair value of stock</w:t>
            </w:r>
          </w:p>
        </w:tc>
      </w:tr>
      <w:tr>
        <w:trPr>
          <w:trHeight w:val="146"/>
        </w:trPr>
        <w:tc>
          <w:tcPr>
            <w:tcW w:w="42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1"/>
              </w:rPr>
              <w:t xml:space="preserve">the award </w:t>
            </w:r>
            <w:r>
              <w:rPr>
                <w:rFonts w:ascii="Times New Roman" w:cs="Times New Roman" w:eastAsia="Times New Roman" w:hAnsi="Times New Roman"/>
                <w:sz w:val="12"/>
                <w:szCs w:val="12"/>
                <w:b w:val="1"/>
                <w:bCs w:val="1"/>
                <w:color w:val="auto"/>
                <w:w w:val="91"/>
                <w:vertAlign w:val="superscript"/>
              </w:rPr>
              <w:t>(1)</w:t>
            </w: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 xml:space="preserve">awards </w:t>
            </w:r>
            <w:r>
              <w:rPr>
                <w:rFonts w:ascii="Times New Roman" w:cs="Times New Roman" w:eastAsia="Times New Roman" w:hAnsi="Times New Roman"/>
                <w:sz w:val="12"/>
                <w:szCs w:val="12"/>
                <w:b w:val="1"/>
                <w:bCs w:val="1"/>
                <w:color w:val="auto"/>
                <w:w w:val="93"/>
                <w:vertAlign w:val="superscript"/>
              </w:rPr>
              <w:t>(2)</w:t>
            </w:r>
          </w:p>
        </w:tc>
      </w:tr>
      <w:tr>
        <w:trPr>
          <w:trHeight w:val="134"/>
        </w:trPr>
        <w:tc>
          <w:tcPr>
            <w:tcW w:w="4220" w:type="dxa"/>
            <w:vAlign w:val="bottom"/>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4220" w:type="dxa"/>
            <w:vAlign w:val="bottom"/>
            <w:gridSpan w:val="2"/>
          </w:tcPr>
          <w:p>
            <w:pPr>
              <w:ind w:left="3160"/>
              <w:spacing w:after="0"/>
              <w:rPr>
                <w:sz w:val="20"/>
                <w:szCs w:val="20"/>
                <w:color w:val="auto"/>
              </w:rPr>
            </w:pPr>
            <w:r>
              <w:rPr>
                <w:rFonts w:ascii="Times New Roman" w:cs="Times New Roman" w:eastAsia="Times New Roman" w:hAnsi="Times New Roman"/>
                <w:sz w:val="10"/>
                <w:szCs w:val="10"/>
                <w:b w:val="1"/>
                <w:bCs w:val="1"/>
                <w:color w:val="auto"/>
              </w:rPr>
              <w:t>Grant date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85"/>
              </w:rPr>
              <w:t>(#)</w:t>
            </w:r>
          </w:p>
        </w:tc>
        <w:tc>
          <w:tcPr>
            <w:tcW w:w="140" w:type="dxa"/>
            <w:vAlign w:val="bottom"/>
          </w:tcPr>
          <w:p>
            <w:pPr>
              <w:spacing w:after="0"/>
              <w:rPr>
                <w:sz w:val="11"/>
                <w:szCs w:val="1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50"/>
        </w:trPr>
        <w:tc>
          <w:tcPr>
            <w:tcW w:w="4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Wesley R. Edens</w:t>
            </w:r>
          </w:p>
        </w:tc>
        <w:tc>
          <w:tcPr>
            <w:tcW w:w="4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Christopher S. Guinta</w:t>
            </w:r>
          </w:p>
        </w:tc>
        <w:tc>
          <w:tcPr>
            <w:tcW w:w="4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3/11/2024</w:t>
            </w:r>
          </w:p>
        </w:tc>
        <w:tc>
          <w:tcPr>
            <w:tcW w:w="160" w:type="dxa"/>
            <w:vAlign w:val="bottom"/>
          </w:tcPr>
          <w:p>
            <w:pPr>
              <w:spacing w:after="0"/>
              <w:rPr>
                <w:sz w:val="13"/>
                <w:szCs w:val="13"/>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2"/>
                <w:szCs w:val="12"/>
                <w:color w:val="auto"/>
              </w:rPr>
              <w:t>162,300</w:t>
            </w:r>
          </w:p>
        </w:tc>
        <w:tc>
          <w:tcPr>
            <w:tcW w:w="140" w:type="dxa"/>
            <w:vAlign w:val="bottom"/>
          </w:tcPr>
          <w:p>
            <w:pPr>
              <w:spacing w:after="0"/>
              <w:rPr>
                <w:sz w:val="13"/>
                <w:szCs w:val="13"/>
                <w:color w:val="auto"/>
              </w:rPr>
            </w:pPr>
          </w:p>
        </w:tc>
        <w:tc>
          <w:tcPr>
            <w:tcW w:w="136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5,300,718</w:t>
            </w:r>
          </w:p>
        </w:tc>
      </w:tr>
      <w:tr>
        <w:trPr>
          <w:trHeight w:val="153"/>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Yunyoung Shin</w:t>
            </w:r>
          </w:p>
        </w:tc>
        <w:tc>
          <w:tcPr>
            <w:tcW w:w="4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3/11/2024</w:t>
            </w: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2"/>
                <w:szCs w:val="12"/>
                <w:color w:val="auto"/>
              </w:rPr>
              <w:t>111,338</w:t>
            </w: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3,636,299</w:t>
            </w:r>
          </w:p>
        </w:tc>
      </w:tr>
      <w:tr>
        <w:trPr>
          <w:trHeight w:val="153"/>
        </w:trPr>
        <w:tc>
          <w:tcPr>
            <w:tcW w:w="4220" w:type="dxa"/>
            <w:vAlign w:val="bottom"/>
          </w:tcPr>
          <w:p>
            <w:pPr>
              <w:spacing w:after="0"/>
              <w:rPr>
                <w:sz w:val="20"/>
                <w:szCs w:val="20"/>
                <w:color w:val="auto"/>
              </w:rPr>
            </w:pPr>
            <w:r>
              <w:rPr>
                <w:rFonts w:ascii="Times New Roman" w:cs="Times New Roman" w:eastAsia="Times New Roman" w:hAnsi="Times New Roman"/>
                <w:sz w:val="12"/>
                <w:szCs w:val="12"/>
                <w:color w:val="auto"/>
              </w:rPr>
              <w:t>Andrew Dete</w:t>
            </w:r>
          </w:p>
        </w:tc>
        <w:tc>
          <w:tcPr>
            <w:tcW w:w="4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3/11/2024</w:t>
            </w:r>
          </w:p>
        </w:tc>
        <w:tc>
          <w:tcPr>
            <w:tcW w:w="160" w:type="dxa"/>
            <w:vAlign w:val="bottom"/>
          </w:tcPr>
          <w:p>
            <w:pPr>
              <w:spacing w:after="0"/>
              <w:rPr>
                <w:sz w:val="13"/>
                <w:szCs w:val="13"/>
                <w:color w:val="auto"/>
              </w:rPr>
            </w:pPr>
          </w:p>
        </w:tc>
        <w:tc>
          <w:tcPr>
            <w:tcW w:w="1360" w:type="dxa"/>
            <w:vAlign w:val="bottom"/>
          </w:tcPr>
          <w:p>
            <w:pPr>
              <w:jc w:val="right"/>
              <w:ind w:right="8"/>
              <w:spacing w:after="0"/>
              <w:rPr>
                <w:sz w:val="20"/>
                <w:szCs w:val="20"/>
                <w:color w:val="auto"/>
              </w:rPr>
            </w:pPr>
            <w:r>
              <w:rPr>
                <w:rFonts w:ascii="Times New Roman" w:cs="Times New Roman" w:eastAsia="Times New Roman" w:hAnsi="Times New Roman"/>
                <w:sz w:val="12"/>
                <w:szCs w:val="12"/>
                <w:color w:val="auto"/>
              </w:rPr>
              <w:t>475,581</w:t>
            </w:r>
          </w:p>
        </w:tc>
        <w:tc>
          <w:tcPr>
            <w:tcW w:w="140" w:type="dxa"/>
            <w:vAlign w:val="bottom"/>
          </w:tcPr>
          <w:p>
            <w:pPr>
              <w:spacing w:after="0"/>
              <w:rPr>
                <w:sz w:val="13"/>
                <w:szCs w:val="13"/>
                <w:color w:val="auto"/>
              </w:rPr>
            </w:pPr>
          </w:p>
        </w:tc>
        <w:tc>
          <w:tcPr>
            <w:tcW w:w="136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15,532,475</w:t>
            </w:r>
          </w:p>
        </w:tc>
      </w:tr>
      <w:tr>
        <w:trPr>
          <w:trHeight w:val="153"/>
        </w:trPr>
        <w:tc>
          <w:tcPr>
            <w:tcW w:w="4220" w:type="dxa"/>
            <w:vAlign w:val="bottom"/>
            <w:shd w:val="clear" w:color="auto" w:fill="CCEEFF"/>
          </w:tcPr>
          <w:p>
            <w:pPr>
              <w:spacing w:after="0"/>
              <w:rPr>
                <w:sz w:val="13"/>
                <w:szCs w:val="13"/>
                <w:color w:val="auto"/>
              </w:rPr>
            </w:pPr>
          </w:p>
        </w:tc>
        <w:tc>
          <w:tcPr>
            <w:tcW w:w="4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5/22/2024</w:t>
            </w:r>
          </w:p>
        </w:tc>
        <w:tc>
          <w:tcPr>
            <w:tcW w:w="16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7"/>
                <w:szCs w:val="7"/>
                <w:color w:val="auto"/>
              </w:rPr>
              <w:t xml:space="preserve"> (3)</w:t>
            </w: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26,971,026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6218555</wp:posOffset>
            </wp:positionH>
            <wp:positionV relativeFrom="paragraph">
              <wp:posOffset>-490855</wp:posOffset>
            </wp:positionV>
            <wp:extent cx="914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5264150</wp:posOffset>
            </wp:positionH>
            <wp:positionV relativeFrom="paragraph">
              <wp:posOffset>-490855</wp:posOffset>
            </wp:positionV>
            <wp:extent cx="914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56" w:lineRule="exact"/>
        <w:rPr>
          <w:sz w:val="20"/>
          <w:szCs w:val="20"/>
          <w:color w:val="auto"/>
        </w:rPr>
      </w:pPr>
    </w:p>
    <w:p>
      <w:pPr>
        <w:ind w:left="420" w:right="160" w:hanging="416"/>
        <w:spacing w:after="0" w:line="204" w:lineRule="auto"/>
        <w:tabs>
          <w:tab w:leader="none" w:pos="420" w:val="left"/>
        </w:tabs>
        <w:numPr>
          <w:ilvl w:val="0"/>
          <w:numId w:val="13"/>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On March 11, 2024, Mr. Guinta was awarded 162,300 RSUs, of which 118,182 RSUs vested on January 2, 2025 and 44,118 RSUs will vest on January 2, 2026. Ms. Shin was awarded 111,338 RSUs, of which 80,455 RSUs vested on January 2, 2025 and 30,883 RSUs will vest on January 2, 2026. Mr. Dete was awarded 475,581 RSUs, of which 269,698 RSUs vested on January 2, 2025; Mr. Dete forfeited 205,883 RSUs upon his cessation of employment on January 2, 2025. Based on the closing price of $4.96 for our Series A Common Stock on April 21, 2025 (the date the Series A Common Stock underlying the RSUs that vested on January 2, 2025 was delivered to Ms. Shin and Mr. Dete), the market value of the RSUs that they were granted on March 11, 2024 was $552,236 and $2,358,885, respectively. The market value of the RSUs Mr. Guinta was granted on March 11, 2024 would have been $805,008 on April 21, 2025.</w:t>
      </w:r>
    </w:p>
    <w:p>
      <w:pPr>
        <w:spacing w:after="0" w:line="12" w:lineRule="exact"/>
        <w:rPr>
          <w:rFonts w:ascii="Times New Roman" w:cs="Times New Roman" w:eastAsia="Times New Roman" w:hAnsi="Times New Roman"/>
          <w:sz w:val="12"/>
          <w:szCs w:val="12"/>
          <w:color w:val="auto"/>
          <w:vertAlign w:val="superscript"/>
        </w:rPr>
      </w:pPr>
    </w:p>
    <w:p>
      <w:pPr>
        <w:ind w:left="420" w:right="20" w:hanging="416"/>
        <w:spacing w:after="0" w:line="202" w:lineRule="auto"/>
        <w:tabs>
          <w:tab w:leader="none" w:pos="420" w:val="left"/>
        </w:tabs>
        <w:numPr>
          <w:ilvl w:val="0"/>
          <w:numId w:val="13"/>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amounts in this column reflect the aggregate grant date value of the awards made during the applicable calendar year computed in accordance with FASB ASC Topic 718. For a summary of the assumptions made in the valuation of the time-vesting RSUs and other equity awards granted in 2024, please see Note 26 of our audited consolidated financial statements in the 2024 Form 10-K.</w:t>
      </w:r>
    </w:p>
    <w:p>
      <w:pPr>
        <w:spacing w:after="0" w:line="12" w:lineRule="exact"/>
        <w:rPr>
          <w:rFonts w:ascii="Times New Roman" w:cs="Times New Roman" w:eastAsia="Times New Roman" w:hAnsi="Times New Roman"/>
          <w:sz w:val="12"/>
          <w:szCs w:val="12"/>
          <w:color w:val="auto"/>
          <w:vertAlign w:val="superscript"/>
        </w:rPr>
      </w:pPr>
    </w:p>
    <w:p>
      <w:pPr>
        <w:ind w:left="420" w:right="140" w:hanging="416"/>
        <w:spacing w:after="0" w:line="201" w:lineRule="auto"/>
        <w:tabs>
          <w:tab w:leader="none" w:pos="420" w:val="left"/>
        </w:tabs>
        <w:numPr>
          <w:ilvl w:val="0"/>
          <w:numId w:val="13"/>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On May 22, 2024, Mr. Dete was granted a time-vesting equity award that will settle in shares of a subsidiary owning the Company's Brazilian operations. 25% of the equity award vested on March 31, 2025, 25% of the equity award will vest on March 31, 2026, and 50% of the equity award will vest on March 31, 2027. As this equity award will not be settled in NFE shares, the number of shares of Brazilco underlying the equity award is not comparable to other awards granted to our named executive officers in 2024 and reflects approximately 1.67% of the equity ownership of Brazilco. There is no trading market for the shares of Brazilco and the amounts reflected in the table above for the equity award include assumptions related to BrazilCo eventually becoming a publicly traded entity. There is no assurance that Brazilco will ever be a public company or that a trading market for the shares of Brazilco will ever develop. If such a trading market for the shares does not develop, the shares may be worth significantly less than the value reflected in the table above. The value reflected in the table above also does not include an estimate of the forfeitures should Mr. Dete’s fail to satisfy the remaining vesting requirements which would result in the forfeiture of 75% of his equity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4"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b w:val="1"/>
          <w:bCs w:val="1"/>
          <w:color w:val="auto"/>
        </w:rPr>
        <w:t>Outstanding Equity Awards at Fiscal Year-End for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780" w:type="dxa"/>
            <w:vAlign w:val="bottom"/>
          </w:tcPr>
          <w:p>
            <w:pPr>
              <w:spacing w:after="0"/>
              <w:rPr>
                <w:sz w:val="10"/>
                <w:szCs w:val="10"/>
                <w:color w:val="auto"/>
              </w:rPr>
            </w:pPr>
          </w:p>
        </w:tc>
        <w:tc>
          <w:tcPr>
            <w:tcW w:w="5160" w:type="dxa"/>
            <w:vAlign w:val="bottom"/>
            <w:gridSpan w:val="2"/>
          </w:tcPr>
          <w:p>
            <w:pPr>
              <w:jc w:val="center"/>
              <w:ind w:left="3468"/>
              <w:spacing w:after="0"/>
              <w:rPr>
                <w:sz w:val="20"/>
                <w:szCs w:val="20"/>
                <w:color w:val="auto"/>
              </w:rPr>
            </w:pPr>
            <w:r>
              <w:rPr>
                <w:rFonts w:ascii="Times New Roman" w:cs="Times New Roman" w:eastAsia="Times New Roman" w:hAnsi="Times New Roman"/>
                <w:sz w:val="10"/>
                <w:szCs w:val="10"/>
                <w:b w:val="1"/>
                <w:bCs w:val="1"/>
                <w:color w:val="auto"/>
                <w:w w:val="96"/>
              </w:rPr>
              <w:t>Number of units that have not</w:t>
            </w: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Market value of units that have</w:t>
            </w:r>
          </w:p>
        </w:tc>
      </w:tr>
      <w:tr>
        <w:trPr>
          <w:trHeight w:val="146"/>
        </w:trPr>
        <w:tc>
          <w:tcPr>
            <w:tcW w:w="4780" w:type="dxa"/>
            <w:vAlign w:val="bottom"/>
          </w:tcPr>
          <w:p>
            <w:pPr>
              <w:spacing w:after="0"/>
              <w:rPr>
                <w:sz w:val="12"/>
                <w:szCs w:val="12"/>
                <w:color w:val="auto"/>
              </w:rPr>
            </w:pPr>
          </w:p>
        </w:tc>
        <w:tc>
          <w:tcPr>
            <w:tcW w:w="5160" w:type="dxa"/>
            <w:vAlign w:val="bottom"/>
            <w:gridSpan w:val="2"/>
          </w:tcPr>
          <w:p>
            <w:pPr>
              <w:jc w:val="center"/>
              <w:ind w:left="3448"/>
              <w:spacing w:after="0"/>
              <w:rPr>
                <w:sz w:val="20"/>
                <w:szCs w:val="20"/>
                <w:color w:val="auto"/>
              </w:rPr>
            </w:pPr>
            <w:r>
              <w:rPr>
                <w:rFonts w:ascii="Times New Roman" w:cs="Times New Roman" w:eastAsia="Times New Roman" w:hAnsi="Times New Roman"/>
                <w:sz w:val="10"/>
                <w:szCs w:val="10"/>
                <w:b w:val="1"/>
                <w:bCs w:val="1"/>
                <w:color w:val="auto"/>
                <w:w w:val="97"/>
              </w:rPr>
              <w:t>vested</w:t>
            </w:r>
          </w:p>
        </w:tc>
        <w:tc>
          <w:tcPr>
            <w:tcW w:w="136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 xml:space="preserve">not vested </w:t>
            </w:r>
            <w:r>
              <w:rPr>
                <w:rFonts w:ascii="Times New Roman" w:cs="Times New Roman" w:eastAsia="Times New Roman" w:hAnsi="Times New Roman"/>
                <w:sz w:val="12"/>
                <w:szCs w:val="12"/>
                <w:b w:val="1"/>
                <w:bCs w:val="1"/>
                <w:color w:val="auto"/>
                <w:w w:val="94"/>
                <w:vertAlign w:val="superscript"/>
              </w:rPr>
              <w:t>(1)</w:t>
            </w:r>
          </w:p>
        </w:tc>
      </w:tr>
      <w:tr>
        <w:trPr>
          <w:trHeight w:val="134"/>
        </w:trPr>
        <w:tc>
          <w:tcPr>
            <w:tcW w:w="4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5020" w:type="dxa"/>
            <w:vAlign w:val="bottom"/>
            <w:tcBorders>
              <w:bottom w:val="single" w:sz="8" w:color="auto"/>
            </w:tcBorders>
          </w:tcPr>
          <w:p>
            <w:pPr>
              <w:jc w:val="center"/>
              <w:ind w:left="3588"/>
              <w:spacing w:after="0"/>
              <w:rPr>
                <w:sz w:val="20"/>
                <w:szCs w:val="20"/>
                <w:color w:val="auto"/>
              </w:rPr>
            </w:pPr>
            <w:r>
              <w:rPr>
                <w:rFonts w:ascii="Times New Roman" w:cs="Times New Roman" w:eastAsia="Times New Roman" w:hAnsi="Times New Roman"/>
                <w:sz w:val="10"/>
                <w:szCs w:val="10"/>
                <w:b w:val="1"/>
                <w:bCs w:val="1"/>
                <w:color w:val="auto"/>
                <w:w w:val="85"/>
              </w:rPr>
              <w:t>(#)</w:t>
            </w:r>
          </w:p>
        </w:tc>
        <w:tc>
          <w:tcPr>
            <w:tcW w:w="14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50"/>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Wesley R. Edens</w:t>
            </w:r>
          </w:p>
        </w:tc>
        <w:tc>
          <w:tcPr>
            <w:tcW w:w="5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auto"/>
              </w:rPr>
              <w:t>Christopher S. Guinta</w:t>
            </w:r>
          </w:p>
        </w:tc>
        <w:tc>
          <w:tcPr>
            <w:tcW w:w="5020" w:type="dxa"/>
            <w:vAlign w:val="bottom"/>
          </w:tcPr>
          <w:p>
            <w:pPr>
              <w:jc w:val="right"/>
              <w:ind w:right="8"/>
              <w:spacing w:after="0"/>
              <w:rPr>
                <w:sz w:val="20"/>
                <w:szCs w:val="20"/>
                <w:color w:val="auto"/>
              </w:rPr>
            </w:pPr>
            <w:r>
              <w:rPr>
                <w:rFonts w:ascii="Times New Roman" w:cs="Times New Roman" w:eastAsia="Times New Roman" w:hAnsi="Times New Roman"/>
                <w:sz w:val="12"/>
                <w:szCs w:val="12"/>
                <w:color w:val="auto"/>
              </w:rPr>
              <w:t>162,300</w:t>
            </w:r>
          </w:p>
        </w:tc>
        <w:tc>
          <w:tcPr>
            <w:tcW w:w="140" w:type="dxa"/>
            <w:vAlign w:val="bottom"/>
          </w:tcPr>
          <w:p>
            <w:pPr>
              <w:spacing w:after="0"/>
              <w:rPr>
                <w:sz w:val="13"/>
                <w:szCs w:val="13"/>
                <w:color w:val="auto"/>
              </w:rPr>
            </w:pPr>
          </w:p>
        </w:tc>
        <w:tc>
          <w:tcPr>
            <w:tcW w:w="136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2,453,976</w:t>
            </w:r>
          </w:p>
        </w:tc>
      </w:tr>
      <w:tr>
        <w:trPr>
          <w:trHeight w:val="153"/>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Yunyoung Shin</w:t>
            </w:r>
          </w:p>
        </w:tc>
        <w:tc>
          <w:tcPr>
            <w:tcW w:w="5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2"/>
                <w:szCs w:val="12"/>
                <w:color w:val="auto"/>
              </w:rPr>
              <w:t>111,338</w:t>
            </w: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1,683,431</w:t>
            </w:r>
          </w:p>
        </w:tc>
      </w:tr>
      <w:tr>
        <w:trPr>
          <w:trHeight w:val="153"/>
        </w:trPr>
        <w:tc>
          <w:tcPr>
            <w:tcW w:w="4780" w:type="dxa"/>
            <w:vAlign w:val="bottom"/>
          </w:tcPr>
          <w:p>
            <w:pPr>
              <w:spacing w:after="0"/>
              <w:rPr>
                <w:sz w:val="20"/>
                <w:szCs w:val="20"/>
                <w:color w:val="auto"/>
              </w:rPr>
            </w:pPr>
            <w:r>
              <w:rPr>
                <w:rFonts w:ascii="Times New Roman" w:cs="Times New Roman" w:eastAsia="Times New Roman" w:hAnsi="Times New Roman"/>
                <w:sz w:val="12"/>
                <w:szCs w:val="12"/>
                <w:color w:val="auto"/>
              </w:rPr>
              <w:t>Andrew Dete</w:t>
            </w:r>
          </w:p>
        </w:tc>
        <w:tc>
          <w:tcPr>
            <w:tcW w:w="5020" w:type="dxa"/>
            <w:vAlign w:val="bottom"/>
          </w:tcPr>
          <w:p>
            <w:pPr>
              <w:jc w:val="right"/>
              <w:ind w:right="8"/>
              <w:spacing w:after="0"/>
              <w:rPr>
                <w:sz w:val="20"/>
                <w:szCs w:val="20"/>
                <w:color w:val="auto"/>
              </w:rPr>
            </w:pPr>
            <w:r>
              <w:rPr>
                <w:rFonts w:ascii="Times New Roman" w:cs="Times New Roman" w:eastAsia="Times New Roman" w:hAnsi="Times New Roman"/>
                <w:sz w:val="12"/>
                <w:szCs w:val="12"/>
                <w:color w:val="auto"/>
              </w:rPr>
              <w:t>475,581</w:t>
            </w:r>
          </w:p>
        </w:tc>
        <w:tc>
          <w:tcPr>
            <w:tcW w:w="140" w:type="dxa"/>
            <w:vAlign w:val="bottom"/>
          </w:tcPr>
          <w:p>
            <w:pPr>
              <w:spacing w:after="0"/>
              <w:rPr>
                <w:sz w:val="13"/>
                <w:szCs w:val="13"/>
                <w:color w:val="auto"/>
              </w:rPr>
            </w:pPr>
          </w:p>
        </w:tc>
        <w:tc>
          <w:tcPr>
            <w:tcW w:w="1360" w:type="dxa"/>
            <w:vAlign w:val="bottom"/>
          </w:tcPr>
          <w:p>
            <w:pPr>
              <w:jc w:val="right"/>
              <w:ind w:right="5"/>
              <w:spacing w:after="0"/>
              <w:rPr>
                <w:sz w:val="20"/>
                <w:szCs w:val="20"/>
                <w:color w:val="auto"/>
              </w:rPr>
            </w:pPr>
            <w:r>
              <w:rPr>
                <w:rFonts w:ascii="Times New Roman" w:cs="Times New Roman" w:eastAsia="Times New Roman" w:hAnsi="Times New Roman"/>
                <w:sz w:val="12"/>
                <w:szCs w:val="12"/>
                <w:color w:val="auto"/>
              </w:rPr>
              <w:t>7,190,785</w:t>
            </w:r>
          </w:p>
        </w:tc>
      </w:tr>
      <w:tr>
        <w:trPr>
          <w:trHeight w:val="153"/>
        </w:trPr>
        <w:tc>
          <w:tcPr>
            <w:tcW w:w="4780" w:type="dxa"/>
            <w:vAlign w:val="bottom"/>
            <w:shd w:val="clear" w:color="auto" w:fill="CCEEFF"/>
          </w:tcPr>
          <w:p>
            <w:pPr>
              <w:spacing w:after="0"/>
              <w:rPr>
                <w:sz w:val="13"/>
                <w:szCs w:val="13"/>
                <w:color w:val="auto"/>
              </w:rPr>
            </w:pPr>
          </w:p>
        </w:tc>
        <w:tc>
          <w:tcPr>
            <w:tcW w:w="5020" w:type="dxa"/>
            <w:vAlign w:val="bottom"/>
            <w:shd w:val="clear" w:color="auto" w:fill="CCEEFF"/>
          </w:tcPr>
          <w:p>
            <w:pPr>
              <w:jc w:val="right"/>
              <w:spacing w:after="0" w:line="153" w:lineRule="exact"/>
              <w:rPr>
                <w:sz w:val="20"/>
                <w:szCs w:val="20"/>
                <w:color w:val="auto"/>
              </w:rPr>
            </w:pPr>
            <w:r>
              <w:rPr>
                <w:rFonts w:ascii="Times New Roman" w:cs="Times New Roman" w:eastAsia="Times New Roman" w:hAnsi="Times New Roman"/>
                <w:sz w:val="17"/>
                <w:szCs w:val="17"/>
                <w:color w:val="auto"/>
                <w:vertAlign w:val="subscript"/>
              </w:rPr>
              <w:t>*</w:t>
            </w:r>
            <w:r>
              <w:rPr>
                <w:rFonts w:ascii="Times New Roman" w:cs="Times New Roman" w:eastAsia="Times New Roman" w:hAnsi="Times New Roman"/>
                <w:sz w:val="7"/>
                <w:szCs w:val="7"/>
                <w:color w:val="auto"/>
              </w:rPr>
              <w:t xml:space="preserve"> (2)</w:t>
            </w:r>
          </w:p>
        </w:tc>
        <w:tc>
          <w:tcPr>
            <w:tcW w:w="14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2"/>
                <w:szCs w:val="12"/>
                <w:color w:val="auto"/>
              </w:rPr>
              <w:t>26,971,026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6218555</wp:posOffset>
            </wp:positionH>
            <wp:positionV relativeFrom="paragraph">
              <wp:posOffset>-490855</wp:posOffset>
            </wp:positionV>
            <wp:extent cx="914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56" w:lineRule="exact"/>
        <w:rPr>
          <w:sz w:val="20"/>
          <w:szCs w:val="20"/>
          <w:color w:val="auto"/>
        </w:rPr>
      </w:pPr>
    </w:p>
    <w:p>
      <w:pPr>
        <w:ind w:left="420" w:right="160" w:hanging="416"/>
        <w:spacing w:after="0" w:line="204" w:lineRule="auto"/>
        <w:tabs>
          <w:tab w:leader="none" w:pos="420" w:val="left"/>
        </w:tabs>
        <w:numPr>
          <w:ilvl w:val="0"/>
          <w:numId w:val="1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market value of the RSUs shown in this column represents the per share closing price of our Class A shares as of December 31, 2024, which was $15.12, multiplied by the number of unvested RSUs outstanding. Based on the closing price of $4.96 for our Series A Common Stock on April 21, 2025 (the date the Series A Common Stock underlying the RSUs that vested on January 2, 2025 was delivered to Ms. Shin and Mr. Dete), the market value of the RSUs that they were granted on March 11, 2024 was $552,236 and $2,358,885, respectively. Mr. Dete forfeited 205,883 RSUs upon his cessation of employment on January 2, 2025. Mr. Guinta has not yet received the delivery of Series A Common Stock underlying the RSUs that vested on January 2, 2025, but the market value of the RSUs he was granted on March 11, 2024 would have been $805,008 on April 21, 2025.</w:t>
      </w:r>
    </w:p>
    <w:p>
      <w:pPr>
        <w:spacing w:after="0" w:line="12" w:lineRule="exact"/>
        <w:rPr>
          <w:rFonts w:ascii="Times New Roman" w:cs="Times New Roman" w:eastAsia="Times New Roman" w:hAnsi="Times New Roman"/>
          <w:sz w:val="12"/>
          <w:szCs w:val="12"/>
          <w:color w:val="auto"/>
          <w:vertAlign w:val="superscript"/>
        </w:rPr>
      </w:pPr>
    </w:p>
    <w:p>
      <w:pPr>
        <w:ind w:left="420" w:right="60" w:hanging="416"/>
        <w:spacing w:after="0" w:line="201" w:lineRule="auto"/>
        <w:tabs>
          <w:tab w:leader="none" w:pos="420" w:val="left"/>
        </w:tabs>
        <w:numPr>
          <w:ilvl w:val="0"/>
          <w:numId w:val="14"/>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Mr. Dete was granted a time-vesting equity award that will settle in shares of a subsidiary owning the Company's Brazilian operations (“Brazilco”). As this equity award will not be settled in NFE shares, the number of shares of Brazilco underlying the equity award is not comparable to other awards granted to our named executive officers in 2024 and reflects approximately 1.67% of the equity ownership of Brazilco. There is no trading market for the shares of Brazilco and the amounts reflected in the table above for the equity award include assumptions related to BrazilCo eventually becoming a publicly traded entity. There is no assurance that Brazilco will ever be a public company or that a trading market for the shares of Brazilco will ever develop. If such a trading market for the shares does not develop, the shares may be worth significantly less than the value reflected in the table above. The value reflected in the table above also does not include an estimate of the forfeitures should Mr. Dete’s fail to satisfy the remaining vesting requirements which would result in the forfeiture of 75% of his equity award.</w:t>
      </w:r>
    </w:p>
    <w:p>
      <w:pPr>
        <w:spacing w:after="0" w:line="66" w:lineRule="exact"/>
        <w:rPr>
          <w:rFonts w:ascii="Times New Roman" w:cs="Times New Roman" w:eastAsia="Times New Roman" w:hAnsi="Times New Roman"/>
          <w:sz w:val="12"/>
          <w:szCs w:val="12"/>
          <w:color w:val="auto"/>
          <w:vertAlign w:val="superscript"/>
        </w:rPr>
      </w:pPr>
    </w:p>
    <w:p>
      <w:pPr>
        <w:ind w:left="420" w:right="260"/>
        <w:spacing w:after="0" w:line="232" w:lineRule="auto"/>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Shares of BrazilCo are not publicly traded and do not have a readily available market value, and as such, the grant date fair value of these equity awards, which were entirely unvested as of December 31, 2024, has been shown. We believe that this value continues to represent a reasonable estimate of the market value of such equity awards as of December 31,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Option Exercises and Stock Vested for 2024</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had no stock options that were exercised during 2024 or RSUs or other equity awards that vested in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Pension Benefits for 2024</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do not maintain any defined benefit pension plans in which any of our named executive officers participate.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Nonqualified Deferred Compensation for 2024</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do not maintain any nonqualified deferred compensation plans in which any of our named executive officers participate.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Potential Payments Upon Change-in-Control or Termination</w:t>
      </w:r>
    </w:p>
    <w:p>
      <w:pPr>
        <w:spacing w:after="0" w:line="154"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We do not have any employment agreements, offer letters, severance plans or change in control plans that provide for any cash payment to any of our named executive officers in connection with a termination of employment or a change in control of the Company.</w:t>
      </w:r>
    </w:p>
    <w:p>
      <w:pPr>
        <w:spacing w:after="0" w:line="111" w:lineRule="exact"/>
        <w:rPr>
          <w:sz w:val="20"/>
          <w:szCs w:val="20"/>
          <w:color w:val="auto"/>
        </w:rPr>
      </w:pPr>
    </w:p>
    <w:p>
      <w:pPr>
        <w:ind w:right="80" w:firstLine="216"/>
        <w:spacing w:after="0" w:line="260" w:lineRule="auto"/>
        <w:rPr>
          <w:sz w:val="20"/>
          <w:szCs w:val="20"/>
          <w:color w:val="auto"/>
        </w:rPr>
      </w:pPr>
      <w:r>
        <w:rPr>
          <w:rFonts w:ascii="Times New Roman" w:cs="Times New Roman" w:eastAsia="Times New Roman" w:hAnsi="Times New Roman"/>
          <w:sz w:val="12"/>
          <w:szCs w:val="12"/>
          <w:color w:val="auto"/>
        </w:rPr>
        <w:t>Under the terms of the Incentive Plan, unless otherwise determined by our Board of Directors or our Compensation Committee prior to a change in control or evidenced in an award agreement, outstanding and unvested RSUs will fully vest upon a termination of employment by the Company without cause or by the participant for “good reason” (to the extent a “good reason” concept is provided in a participant’s applicable award agreement or individual employment or severance agreement) within 12 months following a change in control, with any performance conditions deemed to be fully achieved. Mr. Guinta’s, Ms. Shin’s and Mr. Dete's RSU award agreements and offer letters do not provide for a “good reason” concept.</w:t>
      </w:r>
    </w:p>
    <w:p>
      <w:pPr>
        <w:spacing w:after="0" w:line="122" w:lineRule="exact"/>
        <w:rPr>
          <w:sz w:val="20"/>
          <w:szCs w:val="20"/>
          <w:color w:val="auto"/>
        </w:rPr>
      </w:pPr>
    </w:p>
    <w:p>
      <w:pPr>
        <w:jc w:val="center"/>
        <w:ind w:right="260"/>
        <w:spacing w:after="0" w:line="327" w:lineRule="auto"/>
        <w:rPr>
          <w:sz w:val="20"/>
          <w:szCs w:val="20"/>
          <w:color w:val="auto"/>
        </w:rPr>
      </w:pPr>
      <w:r>
        <w:rPr>
          <w:rFonts w:ascii="Times New Roman" w:cs="Times New Roman" w:eastAsia="Times New Roman" w:hAnsi="Times New Roman"/>
          <w:sz w:val="11"/>
          <w:szCs w:val="11"/>
          <w:color w:val="auto"/>
        </w:rPr>
        <w:t>Assuming that a change in control had occurred on December 31, 2024 and that Mr. Guinta’s and Ms. Shin’s employment had been terminated by the Company without cause on such date, Mr. Guinta would have received accelerated vesting of RSUs with a fair market value on December 31, 2024 equal to $2,453,976, and Ms. Shin would have received accelerated vesting of RSUs with a fair market value on December 31, 2024 equal to $1,683,431.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27" w:name="page28"/>
    <w:bookmarkEnd w:id="27"/>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Effective January 2, 2025, Mr. Dete transitioned to an external role acting on the Company’s Brazilian operations under a consulting agreement with the Company and no longer serves as President of the Company. Upon his transition to the external role, Mr. Dete forfeited 205,883 unvested RSUs with a fair market value on December 31, 2024 of $3,112,951.Mr. Dete’s other equity awards relating to shares of a subsidiary owning the Company's Brazilian operations remain outstanding in accordance with their terms and are eligible to vest based on his continued service in such external role under his consulting agreement with the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Pay Ratio Disclosure</w:t>
      </w:r>
    </w:p>
    <w:p>
      <w:pPr>
        <w:spacing w:after="0" w:line="154"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As required by SEC rules, we are providing the information below to explain the relationship between the annual total compensation of Mr. Edens, who served as our Chief Executive Officer and the Chairman of our Board of Directors in 2024, and the annual total compensation of our median employee, excluding our CEO. As Mr. Edens has elected to serve as our CEO without compensation, the ratio of the annual total compensation of our CEO’s to the median annual total compensation of all employees is zero.</w:t>
      </w:r>
    </w:p>
    <w:p>
      <w:pPr>
        <w:spacing w:after="0" w:line="119" w:lineRule="exact"/>
        <w:rPr>
          <w:sz w:val="20"/>
          <w:szCs w:val="20"/>
          <w:color w:val="auto"/>
        </w:rPr>
      </w:pPr>
    </w:p>
    <w:p>
      <w:pPr>
        <w:ind w:firstLine="216"/>
        <w:spacing w:after="0" w:line="300" w:lineRule="auto"/>
        <w:rPr>
          <w:sz w:val="20"/>
          <w:szCs w:val="20"/>
          <w:color w:val="auto"/>
        </w:rPr>
      </w:pPr>
      <w:r>
        <w:rPr>
          <w:rFonts w:ascii="Times New Roman" w:cs="Times New Roman" w:eastAsia="Times New Roman" w:hAnsi="Times New Roman"/>
          <w:sz w:val="11"/>
          <w:szCs w:val="11"/>
          <w:color w:val="auto"/>
        </w:rPr>
        <w:t>The 2024 annual total compensation of our median employee (other than our CEO), calculated in accordance with Item 402(c) of Regulation S-K, was $68,520. This reflects an analysis of our workforce of 1,404 employees as of December 31, 2024, including part-time employees. We did not include independent contractors in our determination. To identify our median employee, we reviewed the W-2 Box 1 for US employees and pay stub data for any non-US employee compensation for all of our employees, which measure was consistently applied to all our employees included in the calculation. We did not make any cost-of-living adjustments in identifying our median employee for 2024.</w:t>
      </w:r>
    </w:p>
    <w:p>
      <w:pPr>
        <w:spacing w:after="0" w:line="102" w:lineRule="exact"/>
        <w:rPr>
          <w:sz w:val="20"/>
          <w:szCs w:val="20"/>
          <w:color w:val="auto"/>
        </w:rPr>
      </w:pPr>
    </w:p>
    <w:p>
      <w:pPr>
        <w:ind w:right="400" w:firstLine="216"/>
        <w:spacing w:after="0" w:line="279" w:lineRule="auto"/>
        <w:rPr>
          <w:sz w:val="20"/>
          <w:szCs w:val="20"/>
          <w:color w:val="auto"/>
        </w:rPr>
      </w:pPr>
      <w:r>
        <w:rPr>
          <w:rFonts w:ascii="Times New Roman" w:cs="Times New Roman" w:eastAsia="Times New Roman" w:hAnsi="Times New Roman"/>
          <w:sz w:val="12"/>
          <w:szCs w:val="12"/>
          <w:color w:val="auto"/>
        </w:rPr>
        <w:t>Once we identified our median employee for 2024 using the methodology described above, we determined the median employee’s annual total compensation for 2024 in accordance with the requirements of Item 402(c) of Regulation S-K consistent with the calculation of the 2024 annual total compensation of our named executive officers as reported in the Summary Compensation Table for 2024 in this Proxy Statement.</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20"/>
          </w:cols>
          <w:pgMar w:left="300" w:top="705" w:right="37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b w:val="1"/>
          <w:bCs w:val="1"/>
          <w:color w:val="auto"/>
        </w:rPr>
        <w:t>Pay Versus Performance</w:t>
      </w:r>
    </w:p>
    <w:p>
      <w:pPr>
        <w:spacing w:after="0" w:line="154" w:lineRule="exact"/>
        <w:rPr>
          <w:sz w:val="20"/>
          <w:szCs w:val="20"/>
          <w:color w:val="auto"/>
        </w:rPr>
      </w:pPr>
    </w:p>
    <w:p>
      <w:pPr>
        <w:jc w:val="both"/>
        <w:ind w:right="200" w:firstLine="216"/>
        <w:spacing w:after="0" w:line="260" w:lineRule="auto"/>
        <w:rPr>
          <w:sz w:val="20"/>
          <w:szCs w:val="20"/>
          <w:color w:val="auto"/>
        </w:rPr>
      </w:pPr>
      <w:r>
        <w:rPr>
          <w:rFonts w:ascii="Times New Roman" w:cs="Times New Roman" w:eastAsia="Times New Roman" w:hAnsi="Times New Roman"/>
          <w:sz w:val="12"/>
          <w:szCs w:val="12"/>
          <w:color w:val="auto"/>
        </w:rPr>
        <w:t>As required by Item 402(v) of Regulation S-K, we are providing the following information regarding the relationship between executive compensation and our financial performance for each of the past five years. In determining the “compensation actually paid” to our named executive officers, we are required to make various adjustments to amounts that have been reported in our Summary Compensation Table for each year presented, as the SEC’s valuation methods for this section differ from those required in our Summary Compensation Tables. As described more fully above, this table does not include information regarding compensation paid to Mr. Edens because Mr. Edens does not receive any compensation from any party for services rendered to us.</w:t>
      </w:r>
    </w:p>
    <w:p>
      <w:pPr>
        <w:spacing w:after="0" w:line="16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0"/>
          <w:szCs w:val="10"/>
          <w:b w:val="1"/>
          <w:bCs w:val="1"/>
          <w:color w:val="auto"/>
        </w:rPr>
        <w:t>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354965</wp:posOffset>
            </wp:positionH>
            <wp:positionV relativeFrom="paragraph">
              <wp:posOffset>17145</wp:posOffset>
            </wp:positionV>
            <wp:extent cx="681799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17995" cy="5715"/>
                    </a:xfrm>
                    <a:prstGeom prst="rect">
                      <a:avLst/>
                    </a:prstGeom>
                    <a:noFill/>
                  </pic:spPr>
                </pic:pic>
              </a:graphicData>
            </a:graphic>
          </wp:anchor>
        </w:drawing>
      </w:r>
    </w:p>
    <w:p>
      <w:pPr>
        <w:spacing w:after="0" w:line="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0"/>
          <w:szCs w:val="10"/>
          <w:b w:val="1"/>
          <w:bCs w:val="1"/>
          <w:color w:val="auto"/>
        </w:rPr>
        <w:t>Value of initial fixed $100 investment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17145</wp:posOffset>
            </wp:positionV>
            <wp:extent cx="256032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0320" cy="5715"/>
                    </a:xfrm>
                    <a:prstGeom prst="rect">
                      <a:avLst/>
                    </a:prstGeom>
                    <a:noFill/>
                  </pic:spPr>
                </pic:pic>
              </a:graphicData>
            </a:graphic>
          </wp:anchor>
        </w:drawing>
      </w:r>
    </w:p>
    <w:p>
      <w:pPr>
        <w:sectPr>
          <w:pgSz w:w="11900" w:h="16838" w:orient="portrait"/>
          <w:cols w:equalWidth="0" w:num="1">
            <w:col w:w="11360"/>
          </w:cols>
          <w:pgMar w:left="300" w:top="701" w:right="239" w:bottom="1440" w:gutter="0" w:footer="0" w:header="0"/>
        </w:sectPr>
      </w:pPr>
    </w:p>
    <w:p>
      <w:pPr>
        <w:spacing w:after="0" w:line="200" w:lineRule="exact"/>
        <w:rPr>
          <w:sz w:val="20"/>
          <w:szCs w:val="20"/>
          <w:color w:val="auto"/>
        </w:rPr>
      </w:pPr>
    </w:p>
    <w:p>
      <w:pPr>
        <w:spacing w:after="0" w:line="262" w:lineRule="exact"/>
        <w:rPr>
          <w:sz w:val="20"/>
          <w:szCs w:val="20"/>
          <w:color w:val="auto"/>
        </w:rPr>
      </w:pPr>
    </w:p>
    <w:tbl>
      <w:tblPr>
        <w:tblLayout w:type="fixed"/>
        <w:tblInd w:w="180" w:type="dxa"/>
        <w:tblCellMar>
          <w:top w:w="0" w:type="dxa"/>
          <w:left w:w="0" w:type="dxa"/>
          <w:bottom w:w="0" w:type="dxa"/>
          <w:right w:w="0" w:type="dxa"/>
        </w:tblCellMar>
      </w:tblPr>
      <w:tr>
        <w:trPr>
          <w:trHeight w:val="115"/>
        </w:trPr>
        <w:tc>
          <w:tcPr>
            <w:tcW w:w="3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Year</w:t>
            </w:r>
          </w:p>
        </w:tc>
        <w:tc>
          <w:tcPr>
            <w:tcW w:w="1160" w:type="dxa"/>
            <w:vAlign w:val="bottom"/>
          </w:tcPr>
          <w:p>
            <w:pPr>
              <w:jc w:val="center"/>
              <w:ind w:left="92"/>
              <w:spacing w:after="0"/>
              <w:rPr>
                <w:sz w:val="20"/>
                <w:szCs w:val="20"/>
                <w:color w:val="auto"/>
              </w:rPr>
            </w:pPr>
            <w:r>
              <w:rPr>
                <w:rFonts w:ascii="Times New Roman" w:cs="Times New Roman" w:eastAsia="Times New Roman" w:hAnsi="Times New Roman"/>
                <w:sz w:val="10"/>
                <w:szCs w:val="10"/>
                <w:b w:val="1"/>
                <w:bCs w:val="1"/>
                <w:color w:val="auto"/>
                <w:w w:val="95"/>
              </w:rPr>
              <w:t>Summary Compensation</w:t>
            </w:r>
          </w:p>
        </w:tc>
        <w:tc>
          <w:tcPr>
            <w:tcW w:w="0" w:type="dxa"/>
            <w:vAlign w:val="bottom"/>
          </w:tcPr>
          <w:p>
            <w:pPr>
              <w:spacing w:after="0"/>
              <w:rPr>
                <w:sz w:val="1"/>
                <w:szCs w:val="1"/>
                <w:color w:val="auto"/>
              </w:rPr>
            </w:pPr>
          </w:p>
        </w:tc>
      </w:tr>
      <w:tr>
        <w:trPr>
          <w:trHeight w:val="135"/>
        </w:trPr>
        <w:tc>
          <w:tcPr>
            <w:tcW w:w="320" w:type="dxa"/>
            <w:vAlign w:val="bottom"/>
            <w:vMerge w:val="continue"/>
          </w:tcPr>
          <w:p>
            <w:pPr>
              <w:spacing w:after="0"/>
              <w:rPr>
                <w:sz w:val="11"/>
                <w:szCs w:val="11"/>
                <w:color w:val="auto"/>
              </w:rPr>
            </w:pPr>
          </w:p>
        </w:tc>
        <w:tc>
          <w:tcPr>
            <w:tcW w:w="1160" w:type="dxa"/>
            <w:vAlign w:val="bottom"/>
          </w:tcPr>
          <w:p>
            <w:pPr>
              <w:jc w:val="center"/>
              <w:ind w:left="92"/>
              <w:spacing w:after="0" w:line="135" w:lineRule="exact"/>
              <w:rPr>
                <w:sz w:val="20"/>
                <w:szCs w:val="20"/>
                <w:color w:val="auto"/>
              </w:rPr>
            </w:pPr>
            <w:r>
              <w:rPr>
                <w:rFonts w:ascii="Times New Roman" w:cs="Times New Roman" w:eastAsia="Times New Roman" w:hAnsi="Times New Roman"/>
                <w:sz w:val="10"/>
                <w:szCs w:val="10"/>
                <w:b w:val="1"/>
                <w:bCs w:val="1"/>
                <w:color w:val="auto"/>
                <w:w w:val="92"/>
              </w:rPr>
              <w:t>Table Total for PEO</w:t>
            </w:r>
            <w:r>
              <w:rPr>
                <w:rFonts w:ascii="Times New Roman" w:cs="Times New Roman" w:eastAsia="Times New Roman" w:hAnsi="Times New Roman"/>
                <w:sz w:val="12"/>
                <w:szCs w:val="12"/>
                <w:b w:val="1"/>
                <w:bCs w:val="1"/>
                <w:color w:val="auto"/>
                <w:w w:val="92"/>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800" w:type="dxa"/>
            <w:vAlign w:val="bottom"/>
            <w:vMerge w:val="restart"/>
          </w:tcPr>
          <w:p>
            <w:pPr>
              <w:jc w:val="center"/>
              <w:ind w:right="152"/>
              <w:spacing w:after="0"/>
              <w:rPr>
                <w:sz w:val="20"/>
                <w:szCs w:val="20"/>
                <w:color w:val="auto"/>
              </w:rPr>
            </w:pPr>
            <w:r>
              <w:rPr>
                <w:rFonts w:ascii="Times New Roman" w:cs="Times New Roman" w:eastAsia="Times New Roman" w:hAnsi="Times New Roman"/>
                <w:sz w:val="10"/>
                <w:szCs w:val="10"/>
                <w:b w:val="1"/>
                <w:bCs w:val="1"/>
                <w:color w:val="auto"/>
                <w:w w:val="97"/>
              </w:rPr>
              <w:t>Compensation</w:t>
            </w:r>
          </w:p>
        </w:tc>
        <w:tc>
          <w:tcPr>
            <w:tcW w:w="1120" w:type="dxa"/>
            <w:vAlign w:val="bottom"/>
          </w:tcPr>
          <w:p>
            <w:pPr>
              <w:jc w:val="center"/>
              <w:ind w:left="73"/>
              <w:spacing w:after="0"/>
              <w:rPr>
                <w:sz w:val="20"/>
                <w:szCs w:val="20"/>
                <w:color w:val="auto"/>
              </w:rPr>
            </w:pPr>
            <w:r>
              <w:rPr>
                <w:rFonts w:ascii="Times New Roman" w:cs="Times New Roman" w:eastAsia="Times New Roman" w:hAnsi="Times New Roman"/>
                <w:sz w:val="10"/>
                <w:szCs w:val="10"/>
                <w:b w:val="1"/>
                <w:bCs w:val="1"/>
                <w:color w:val="auto"/>
                <w:w w:val="94"/>
              </w:rPr>
              <w:t>Average Summary</w:t>
            </w:r>
          </w:p>
        </w:tc>
        <w:tc>
          <w:tcPr>
            <w:tcW w:w="13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800" w:type="dxa"/>
            <w:vAlign w:val="bottom"/>
            <w:vMerge w:val="continue"/>
          </w:tcPr>
          <w:p>
            <w:pPr>
              <w:spacing w:after="0"/>
              <w:rPr>
                <w:sz w:val="10"/>
                <w:szCs w:val="10"/>
                <w:color w:val="auto"/>
              </w:rPr>
            </w:pPr>
          </w:p>
        </w:tc>
        <w:tc>
          <w:tcPr>
            <w:tcW w:w="1120" w:type="dxa"/>
            <w:vAlign w:val="bottom"/>
          </w:tcPr>
          <w:p>
            <w:pPr>
              <w:jc w:val="center"/>
              <w:ind w:left="73"/>
              <w:spacing w:after="0"/>
              <w:rPr>
                <w:sz w:val="20"/>
                <w:szCs w:val="20"/>
                <w:color w:val="auto"/>
              </w:rPr>
            </w:pPr>
            <w:r>
              <w:rPr>
                <w:rFonts w:ascii="Times New Roman" w:cs="Times New Roman" w:eastAsia="Times New Roman" w:hAnsi="Times New Roman"/>
                <w:sz w:val="10"/>
                <w:szCs w:val="10"/>
                <w:b w:val="1"/>
                <w:bCs w:val="1"/>
                <w:color w:val="auto"/>
                <w:w w:val="94"/>
              </w:rPr>
              <w:t>Compensation Table</w:t>
            </w:r>
          </w:p>
        </w:tc>
        <w:tc>
          <w:tcPr>
            <w:tcW w:w="13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Average Compensation</w:t>
            </w:r>
          </w:p>
        </w:tc>
        <w:tc>
          <w:tcPr>
            <w:tcW w:w="9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00" w:type="dxa"/>
            <w:vAlign w:val="bottom"/>
          </w:tcPr>
          <w:p>
            <w:pPr>
              <w:jc w:val="center"/>
              <w:ind w:right="132"/>
              <w:spacing w:after="0" w:line="108" w:lineRule="exact"/>
              <w:rPr>
                <w:sz w:val="20"/>
                <w:szCs w:val="20"/>
                <w:color w:val="auto"/>
              </w:rPr>
            </w:pPr>
            <w:r>
              <w:rPr>
                <w:rFonts w:ascii="Times New Roman" w:cs="Times New Roman" w:eastAsia="Times New Roman" w:hAnsi="Times New Roman"/>
                <w:sz w:val="10"/>
                <w:szCs w:val="10"/>
                <w:b w:val="1"/>
                <w:bCs w:val="1"/>
                <w:color w:val="auto"/>
                <w:w w:val="94"/>
              </w:rPr>
              <w:t>Actually</w:t>
            </w:r>
          </w:p>
        </w:tc>
        <w:tc>
          <w:tcPr>
            <w:tcW w:w="1120" w:type="dxa"/>
            <w:vAlign w:val="bottom"/>
          </w:tcPr>
          <w:p>
            <w:pPr>
              <w:jc w:val="center"/>
              <w:ind w:left="93"/>
              <w:spacing w:after="0" w:line="108" w:lineRule="exact"/>
              <w:rPr>
                <w:sz w:val="20"/>
                <w:szCs w:val="20"/>
                <w:color w:val="auto"/>
              </w:rPr>
            </w:pPr>
            <w:r>
              <w:rPr>
                <w:rFonts w:ascii="Times New Roman" w:cs="Times New Roman" w:eastAsia="Times New Roman" w:hAnsi="Times New Roman"/>
                <w:sz w:val="10"/>
                <w:szCs w:val="10"/>
                <w:b w:val="1"/>
                <w:bCs w:val="1"/>
                <w:color w:val="auto"/>
                <w:w w:val="94"/>
              </w:rPr>
              <w:t>Total for Non-PEO</w:t>
            </w:r>
          </w:p>
        </w:tc>
        <w:tc>
          <w:tcPr>
            <w:tcW w:w="130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7"/>
              </w:rPr>
              <w:t>Actually Paid to Non-PEO</w:t>
            </w:r>
          </w:p>
        </w:tc>
        <w:tc>
          <w:tcPr>
            <w:tcW w:w="92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b w:val="1"/>
                <w:bCs w:val="1"/>
                <w:color w:val="auto"/>
                <w:w w:val="94"/>
              </w:rPr>
              <w:t>Total Shareholder</w:t>
            </w:r>
          </w:p>
        </w:tc>
        <w:tc>
          <w:tcPr>
            <w:tcW w:w="102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Peer Group Total</w:t>
            </w:r>
          </w:p>
        </w:tc>
        <w:tc>
          <w:tcPr>
            <w:tcW w:w="102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Peer Group Total</w:t>
            </w:r>
          </w:p>
        </w:tc>
        <w:tc>
          <w:tcPr>
            <w:tcW w:w="104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Peer Group Total</w:t>
            </w:r>
          </w:p>
        </w:tc>
        <w:tc>
          <w:tcPr>
            <w:tcW w:w="9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Net Income (Loss)</w:t>
            </w:r>
          </w:p>
        </w:tc>
        <w:tc>
          <w:tcPr>
            <w:tcW w:w="1020" w:type="dxa"/>
            <w:vAlign w:val="bottom"/>
            <w:vMerge w:val="restart"/>
          </w:tcPr>
          <w:p>
            <w:pPr>
              <w:jc w:val="center"/>
              <w:ind w:left="74"/>
              <w:spacing w:after="0"/>
              <w:rPr>
                <w:sz w:val="20"/>
                <w:szCs w:val="20"/>
                <w:color w:val="auto"/>
              </w:rPr>
            </w:pPr>
            <w:r>
              <w:rPr>
                <w:rFonts w:ascii="Times New Roman" w:cs="Times New Roman" w:eastAsia="Times New Roman" w:hAnsi="Times New Roman"/>
                <w:sz w:val="10"/>
                <w:szCs w:val="10"/>
                <w:b w:val="1"/>
                <w:bCs w:val="1"/>
                <w:color w:val="auto"/>
                <w:w w:val="94"/>
              </w:rPr>
              <w:t>Adjusted EBITDA (In</w:t>
            </w:r>
          </w:p>
        </w:tc>
        <w:tc>
          <w:tcPr>
            <w:tcW w:w="0" w:type="dxa"/>
            <w:vAlign w:val="bottom"/>
          </w:tcPr>
          <w:p>
            <w:pPr>
              <w:spacing w:after="0"/>
              <w:rPr>
                <w:sz w:val="1"/>
                <w:szCs w:val="1"/>
                <w:color w:val="auto"/>
              </w:rPr>
            </w:pPr>
          </w:p>
        </w:tc>
      </w:tr>
      <w:tr>
        <w:trPr>
          <w:trHeight w:val="90"/>
        </w:trPr>
        <w:tc>
          <w:tcPr>
            <w:tcW w:w="800" w:type="dxa"/>
            <w:vAlign w:val="bottom"/>
          </w:tcPr>
          <w:p>
            <w:pPr>
              <w:jc w:val="center"/>
              <w:ind w:right="112"/>
              <w:spacing w:after="0" w:line="90" w:lineRule="exact"/>
              <w:rPr>
                <w:sz w:val="20"/>
                <w:szCs w:val="20"/>
                <w:color w:val="auto"/>
              </w:rPr>
            </w:pPr>
            <w:r>
              <w:rPr>
                <w:rFonts w:ascii="Times New Roman" w:cs="Times New Roman" w:eastAsia="Times New Roman" w:hAnsi="Times New Roman"/>
                <w:sz w:val="10"/>
                <w:szCs w:val="10"/>
                <w:b w:val="1"/>
                <w:bCs w:val="1"/>
                <w:color w:val="auto"/>
              </w:rPr>
              <w:t>Paid</w:t>
            </w:r>
          </w:p>
        </w:tc>
        <w:tc>
          <w:tcPr>
            <w:tcW w:w="1120" w:type="dxa"/>
            <w:vAlign w:val="bottom"/>
          </w:tcPr>
          <w:p>
            <w:pPr>
              <w:jc w:val="center"/>
              <w:ind w:left="73"/>
              <w:spacing w:after="0" w:line="90" w:lineRule="exact"/>
              <w:rPr>
                <w:sz w:val="20"/>
                <w:szCs w:val="20"/>
                <w:color w:val="auto"/>
              </w:rPr>
            </w:pPr>
            <w:r>
              <w:rPr>
                <w:rFonts w:ascii="Times New Roman" w:cs="Times New Roman" w:eastAsia="Times New Roman" w:hAnsi="Times New Roman"/>
                <w:sz w:val="10"/>
                <w:szCs w:val="10"/>
                <w:b w:val="1"/>
                <w:bCs w:val="1"/>
                <w:color w:val="auto"/>
                <w:w w:val="96"/>
              </w:rPr>
              <w:t>Named Executive</w:t>
            </w:r>
          </w:p>
        </w:tc>
        <w:tc>
          <w:tcPr>
            <w:tcW w:w="1300" w:type="dxa"/>
            <w:vAlign w:val="bottom"/>
          </w:tcPr>
          <w:p>
            <w:pPr>
              <w:jc w:val="center"/>
              <w:spacing w:after="0" w:line="90" w:lineRule="exact"/>
              <w:rPr>
                <w:sz w:val="20"/>
                <w:szCs w:val="20"/>
                <w:color w:val="auto"/>
              </w:rPr>
            </w:pPr>
            <w:r>
              <w:rPr>
                <w:rFonts w:ascii="Times New Roman" w:cs="Times New Roman" w:eastAsia="Times New Roman" w:hAnsi="Times New Roman"/>
                <w:sz w:val="8"/>
                <w:szCs w:val="8"/>
                <w:b w:val="1"/>
                <w:bCs w:val="1"/>
                <w:color w:val="auto"/>
              </w:rPr>
              <w:t>Named Executive Officers</w:t>
            </w:r>
            <w:r>
              <w:rPr>
                <w:rFonts w:ascii="Times New Roman" w:cs="Times New Roman" w:eastAsia="Times New Roman" w:hAnsi="Times New Roman"/>
                <w:sz w:val="10"/>
                <w:szCs w:val="10"/>
                <w:b w:val="1"/>
                <w:bCs w:val="1"/>
                <w:color w:val="auto"/>
                <w:vertAlign w:val="superscript"/>
              </w:rPr>
              <w:t>(2)</w:t>
            </w:r>
          </w:p>
        </w:tc>
        <w:tc>
          <w:tcPr>
            <w:tcW w:w="920" w:type="dxa"/>
            <w:vAlign w:val="bottom"/>
            <w:vMerge w:val="continue"/>
          </w:tcPr>
          <w:p>
            <w:pPr>
              <w:spacing w:after="0"/>
              <w:rPr>
                <w:sz w:val="7"/>
                <w:szCs w:val="7"/>
                <w:color w:val="auto"/>
              </w:rPr>
            </w:pPr>
          </w:p>
        </w:tc>
        <w:tc>
          <w:tcPr>
            <w:tcW w:w="102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w w:val="95"/>
              </w:rPr>
              <w:t>Shareholder Return</w:t>
            </w:r>
          </w:p>
        </w:tc>
        <w:tc>
          <w:tcPr>
            <w:tcW w:w="102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w w:val="95"/>
              </w:rPr>
              <w:t>Shareholder Return</w:t>
            </w:r>
          </w:p>
        </w:tc>
        <w:tc>
          <w:tcPr>
            <w:tcW w:w="104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b w:val="1"/>
                <w:bCs w:val="1"/>
                <w:color w:val="auto"/>
                <w:w w:val="95"/>
              </w:rPr>
              <w:t>Shareholder Return</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(In thousands)</w:t>
            </w:r>
          </w:p>
        </w:tc>
        <w:tc>
          <w:tcPr>
            <w:tcW w:w="1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800" w:type="dxa"/>
            <w:vAlign w:val="bottom"/>
          </w:tcPr>
          <w:p>
            <w:pPr>
              <w:jc w:val="center"/>
              <w:ind w:right="132"/>
              <w:spacing w:after="0" w:line="99" w:lineRule="exact"/>
              <w:rPr>
                <w:sz w:val="20"/>
                <w:szCs w:val="20"/>
                <w:color w:val="auto"/>
              </w:rPr>
            </w:pPr>
            <w:r>
              <w:rPr>
                <w:rFonts w:ascii="Times New Roman" w:cs="Times New Roman" w:eastAsia="Times New Roman" w:hAnsi="Times New Roman"/>
                <w:sz w:val="10"/>
                <w:szCs w:val="10"/>
                <w:b w:val="1"/>
                <w:bCs w:val="1"/>
                <w:color w:val="auto"/>
                <w:w w:val="95"/>
              </w:rPr>
              <w:t>to PEO</w:t>
            </w:r>
          </w:p>
        </w:tc>
        <w:tc>
          <w:tcPr>
            <w:tcW w:w="1120" w:type="dxa"/>
            <w:vAlign w:val="bottom"/>
          </w:tcPr>
          <w:p>
            <w:pPr>
              <w:jc w:val="center"/>
              <w:ind w:left="73"/>
              <w:spacing w:after="0" w:line="99" w:lineRule="exact"/>
              <w:rPr>
                <w:sz w:val="20"/>
                <w:szCs w:val="20"/>
                <w:color w:val="auto"/>
              </w:rPr>
            </w:pPr>
            <w:r>
              <w:rPr>
                <w:rFonts w:ascii="Times New Roman" w:cs="Times New Roman" w:eastAsia="Times New Roman" w:hAnsi="Times New Roman"/>
                <w:sz w:val="9"/>
                <w:szCs w:val="9"/>
                <w:b w:val="1"/>
                <w:bCs w:val="1"/>
                <w:color w:val="auto"/>
              </w:rPr>
              <w:t>Officers</w:t>
            </w:r>
            <w:r>
              <w:rPr>
                <w:rFonts w:ascii="Times New Roman" w:cs="Times New Roman" w:eastAsia="Times New Roman" w:hAnsi="Times New Roman"/>
                <w:sz w:val="11"/>
                <w:szCs w:val="11"/>
                <w:b w:val="1"/>
                <w:bCs w:val="1"/>
                <w:color w:val="auto"/>
                <w:vertAlign w:val="superscript"/>
              </w:rPr>
              <w:t>(1)</w:t>
            </w:r>
          </w:p>
        </w:tc>
        <w:tc>
          <w:tcPr>
            <w:tcW w:w="1300" w:type="dxa"/>
            <w:vAlign w:val="bottom"/>
          </w:tcPr>
          <w:p>
            <w:pPr>
              <w:jc w:val="center"/>
              <w:spacing w:after="0"/>
              <w:rPr>
                <w:sz w:val="20"/>
                <w:szCs w:val="20"/>
                <w:color w:val="auto"/>
              </w:rPr>
            </w:pPr>
            <w:r>
              <w:rPr>
                <w:rFonts w:ascii="Times New Roman" w:cs="Times New Roman" w:eastAsia="Times New Roman" w:hAnsi="Times New Roman"/>
                <w:sz w:val="6"/>
                <w:szCs w:val="6"/>
                <w:b w:val="1"/>
                <w:bCs w:val="1"/>
                <w:color w:val="auto"/>
                <w:w w:val="85"/>
              </w:rPr>
              <w:t>(3)</w:t>
            </w:r>
          </w:p>
        </w:tc>
        <w:tc>
          <w:tcPr>
            <w:tcW w:w="9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1"/>
              </w:rPr>
              <w:t>Return</w:t>
            </w:r>
          </w:p>
        </w:tc>
        <w:tc>
          <w:tcPr>
            <w:tcW w:w="1020" w:type="dxa"/>
            <w:vAlign w:val="bottom"/>
          </w:tcPr>
          <w:p>
            <w:pPr>
              <w:jc w:val="center"/>
              <w:spacing w:after="0" w:line="99" w:lineRule="exact"/>
              <w:rPr>
                <w:sz w:val="20"/>
                <w:szCs w:val="20"/>
                <w:color w:val="auto"/>
              </w:rPr>
            </w:pPr>
            <w:r>
              <w:rPr>
                <w:rFonts w:ascii="Times New Roman" w:cs="Times New Roman" w:eastAsia="Times New Roman" w:hAnsi="Times New Roman"/>
                <w:sz w:val="9"/>
                <w:szCs w:val="9"/>
                <w:b w:val="1"/>
                <w:bCs w:val="1"/>
                <w:color w:val="auto"/>
              </w:rPr>
              <w:t>(ICLN)</w:t>
            </w:r>
            <w:r>
              <w:rPr>
                <w:rFonts w:ascii="Times New Roman" w:cs="Times New Roman" w:eastAsia="Times New Roman" w:hAnsi="Times New Roman"/>
                <w:sz w:val="11"/>
                <w:szCs w:val="11"/>
                <w:b w:val="1"/>
                <w:bCs w:val="1"/>
                <w:color w:val="auto"/>
                <w:vertAlign w:val="superscript"/>
              </w:rPr>
              <w:t>(4)</w:t>
            </w:r>
          </w:p>
        </w:tc>
        <w:tc>
          <w:tcPr>
            <w:tcW w:w="10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7"/>
              </w:rPr>
              <w:t>(VDE)</w:t>
            </w:r>
            <w:r>
              <w:rPr>
                <w:rFonts w:ascii="Times New Roman" w:cs="Times New Roman" w:eastAsia="Times New Roman" w:hAnsi="Times New Roman"/>
                <w:sz w:val="6"/>
                <w:szCs w:val="6"/>
                <w:b w:val="1"/>
                <w:bCs w:val="1"/>
                <w:color w:val="auto"/>
                <w:w w:val="97"/>
              </w:rPr>
              <w:t>(4)</w:t>
            </w:r>
          </w:p>
        </w:tc>
        <w:tc>
          <w:tcPr>
            <w:tcW w:w="104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3"/>
              </w:rPr>
              <w:t>(XLE)</w:t>
            </w:r>
            <w:r>
              <w:rPr>
                <w:rFonts w:ascii="Times New Roman" w:cs="Times New Roman" w:eastAsia="Times New Roman" w:hAnsi="Times New Roman"/>
                <w:sz w:val="6"/>
                <w:szCs w:val="6"/>
                <w:b w:val="1"/>
                <w:bCs w:val="1"/>
                <w:color w:val="auto"/>
                <w:w w:val="93"/>
              </w:rPr>
              <w:t>(4)</w:t>
            </w:r>
          </w:p>
        </w:tc>
        <w:tc>
          <w:tcPr>
            <w:tcW w:w="980" w:type="dxa"/>
            <w:vAlign w:val="bottom"/>
            <w:vMerge w:val="continue"/>
          </w:tcPr>
          <w:p>
            <w:pPr>
              <w:spacing w:after="0"/>
              <w:rPr>
                <w:sz w:val="8"/>
                <w:szCs w:val="8"/>
                <w:color w:val="auto"/>
              </w:rPr>
            </w:pPr>
          </w:p>
        </w:tc>
        <w:tc>
          <w:tcPr>
            <w:tcW w:w="1020" w:type="dxa"/>
            <w:vAlign w:val="bottom"/>
          </w:tcPr>
          <w:p>
            <w:pPr>
              <w:jc w:val="center"/>
              <w:ind w:left="54"/>
              <w:spacing w:after="0" w:line="99" w:lineRule="exact"/>
              <w:rPr>
                <w:sz w:val="20"/>
                <w:szCs w:val="20"/>
                <w:color w:val="auto"/>
              </w:rPr>
            </w:pPr>
            <w:r>
              <w:rPr>
                <w:rFonts w:ascii="Times New Roman" w:cs="Times New Roman" w:eastAsia="Times New Roman" w:hAnsi="Times New Roman"/>
                <w:sz w:val="9"/>
                <w:szCs w:val="9"/>
                <w:b w:val="1"/>
                <w:bCs w:val="1"/>
                <w:color w:val="auto"/>
              </w:rPr>
              <w:t>thousands)</w:t>
            </w:r>
            <w:r>
              <w:rPr>
                <w:rFonts w:ascii="Times New Roman" w:cs="Times New Roman" w:eastAsia="Times New Roman" w:hAnsi="Times New Roman"/>
                <w:sz w:val="11"/>
                <w:szCs w:val="11"/>
                <w:b w:val="1"/>
                <w:bCs w:val="1"/>
                <w:color w:val="auto"/>
                <w:vertAlign w:val="superscript"/>
              </w:rPr>
              <w:t>(5)</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1660" w:space="340"/>
            <w:col w:w="9360"/>
          </w:cols>
          <w:pgMar w:left="300" w:top="701" w:right="239" w:bottom="1440" w:gutter="0" w:footer="0" w:header="0"/>
          <w:type w:val="continuous"/>
        </w:sectPr>
      </w:pPr>
    </w:p>
    <w:tbl>
      <w:tblPr>
        <w:tblLayout w:type="fixed"/>
        <w:tblInd w:w="0" w:type="dxa"/>
        <w:tblCellMar>
          <w:top w:w="0" w:type="dxa"/>
          <w:left w:w="0" w:type="dxa"/>
          <w:bottom w:w="0" w:type="dxa"/>
          <w:right w:w="0" w:type="dxa"/>
        </w:tblCellMar>
      </w:tblPr>
      <w:tr>
        <w:trPr>
          <w:trHeight w:val="133"/>
        </w:trPr>
        <w:tc>
          <w:tcPr>
            <w:tcW w:w="480" w:type="dxa"/>
            <w:vAlign w:val="bottom"/>
            <w:tcBorders>
              <w:top w:val="single" w:sz="8" w:color="auto"/>
            </w:tcBorders>
          </w:tcPr>
          <w:p>
            <w:pPr>
              <w:jc w:val="center"/>
              <w:ind w:left="21"/>
              <w:spacing w:after="0"/>
              <w:rPr>
                <w:sz w:val="20"/>
                <w:szCs w:val="20"/>
                <w:color w:val="auto"/>
              </w:rPr>
            </w:pPr>
            <w:r>
              <w:rPr>
                <w:rFonts w:ascii="Times New Roman" w:cs="Times New Roman" w:eastAsia="Times New Roman" w:hAnsi="Times New Roman"/>
                <w:sz w:val="11"/>
                <w:szCs w:val="11"/>
                <w:i w:val="1"/>
                <w:iCs w:val="1"/>
                <w:color w:val="auto"/>
                <w:w w:val="93"/>
              </w:rPr>
              <w:t>(a)</w:t>
            </w:r>
          </w:p>
        </w:tc>
        <w:tc>
          <w:tcPr>
            <w:tcW w:w="92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i w:val="1"/>
                <w:iCs w:val="1"/>
                <w:color w:val="auto"/>
              </w:rPr>
              <w:t>(b)</w:t>
            </w:r>
          </w:p>
        </w:tc>
        <w:tc>
          <w:tcPr>
            <w:tcW w:w="114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1"/>
                <w:szCs w:val="11"/>
                <w:i w:val="1"/>
                <w:iCs w:val="1"/>
                <w:color w:val="auto"/>
              </w:rPr>
              <w:t>(c)</w:t>
            </w:r>
          </w:p>
        </w:tc>
        <w:tc>
          <w:tcPr>
            <w:tcW w:w="6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421"/>
              <w:spacing w:after="0"/>
              <w:rPr>
                <w:sz w:val="20"/>
                <w:szCs w:val="20"/>
                <w:color w:val="auto"/>
              </w:rPr>
            </w:pPr>
            <w:r>
              <w:rPr>
                <w:rFonts w:ascii="Times New Roman" w:cs="Times New Roman" w:eastAsia="Times New Roman" w:hAnsi="Times New Roman"/>
                <w:sz w:val="11"/>
                <w:szCs w:val="11"/>
                <w:i w:val="1"/>
                <w:iCs w:val="1"/>
                <w:color w:val="auto"/>
              </w:rPr>
              <w:t>(d)</w:t>
            </w:r>
          </w:p>
        </w:tc>
        <w:tc>
          <w:tcPr>
            <w:tcW w:w="3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461"/>
              <w:spacing w:after="0"/>
              <w:rPr>
                <w:sz w:val="20"/>
                <w:szCs w:val="20"/>
                <w:color w:val="auto"/>
              </w:rPr>
            </w:pPr>
            <w:r>
              <w:rPr>
                <w:rFonts w:ascii="Times New Roman" w:cs="Times New Roman" w:eastAsia="Times New Roman" w:hAnsi="Times New Roman"/>
                <w:sz w:val="11"/>
                <w:szCs w:val="11"/>
                <w:i w:val="1"/>
                <w:iCs w:val="1"/>
                <w:color w:val="auto"/>
              </w:rPr>
              <w:t>(e)</w:t>
            </w:r>
          </w:p>
        </w:tc>
        <w:tc>
          <w:tcPr>
            <w:tcW w:w="2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381"/>
              <w:spacing w:after="0"/>
              <w:rPr>
                <w:sz w:val="20"/>
                <w:szCs w:val="20"/>
                <w:color w:val="auto"/>
              </w:rPr>
            </w:pPr>
            <w:r>
              <w:rPr>
                <w:rFonts w:ascii="Times New Roman" w:cs="Times New Roman" w:eastAsia="Times New Roman" w:hAnsi="Times New Roman"/>
                <w:sz w:val="11"/>
                <w:szCs w:val="11"/>
                <w:i w:val="1"/>
                <w:iCs w:val="1"/>
                <w:color w:val="auto"/>
              </w:rPr>
              <w:t>(f)</w:t>
            </w:r>
          </w:p>
        </w:tc>
        <w:tc>
          <w:tcPr>
            <w:tcW w:w="2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381"/>
              <w:spacing w:after="0"/>
              <w:rPr>
                <w:sz w:val="20"/>
                <w:szCs w:val="20"/>
                <w:color w:val="auto"/>
              </w:rPr>
            </w:pPr>
            <w:r>
              <w:rPr>
                <w:rFonts w:ascii="Times New Roman" w:cs="Times New Roman" w:eastAsia="Times New Roman" w:hAnsi="Times New Roman"/>
                <w:sz w:val="11"/>
                <w:szCs w:val="11"/>
                <w:i w:val="1"/>
                <w:iCs w:val="1"/>
                <w:color w:val="auto"/>
              </w:rPr>
              <w:t>(g)</w:t>
            </w: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i w:val="1"/>
                <w:iCs w:val="1"/>
                <w:color w:val="auto"/>
              </w:rPr>
              <w:t>(g)</w:t>
            </w:r>
          </w:p>
        </w:tc>
        <w:tc>
          <w:tcPr>
            <w:tcW w:w="4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i w:val="1"/>
                <w:iCs w:val="1"/>
                <w:color w:val="auto"/>
              </w:rPr>
              <w:t>(g)</w:t>
            </w:r>
          </w:p>
        </w:tc>
        <w:tc>
          <w:tcPr>
            <w:tcW w:w="4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401"/>
              <w:spacing w:after="0"/>
              <w:rPr>
                <w:sz w:val="20"/>
                <w:szCs w:val="20"/>
                <w:color w:val="auto"/>
              </w:rPr>
            </w:pPr>
            <w:r>
              <w:rPr>
                <w:rFonts w:ascii="Times New Roman" w:cs="Times New Roman" w:eastAsia="Times New Roman" w:hAnsi="Times New Roman"/>
                <w:sz w:val="11"/>
                <w:szCs w:val="11"/>
                <w:i w:val="1"/>
                <w:iCs w:val="1"/>
                <w:color w:val="auto"/>
              </w:rPr>
              <w:t>(h)</w:t>
            </w:r>
          </w:p>
        </w:tc>
        <w:tc>
          <w:tcPr>
            <w:tcW w:w="2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421"/>
              <w:spacing w:after="0"/>
              <w:rPr>
                <w:sz w:val="20"/>
                <w:szCs w:val="20"/>
                <w:color w:val="auto"/>
              </w:rPr>
            </w:pPr>
            <w:r>
              <w:rPr>
                <w:rFonts w:ascii="Times New Roman" w:cs="Times New Roman" w:eastAsia="Times New Roman" w:hAnsi="Times New Roman"/>
                <w:sz w:val="11"/>
                <w:szCs w:val="11"/>
                <w:i w:val="1"/>
                <w:iCs w:val="1"/>
                <w:color w:val="auto"/>
              </w:rPr>
              <w:t>(i)</w:t>
            </w:r>
          </w:p>
        </w:tc>
      </w:tr>
      <w:tr>
        <w:trPr>
          <w:trHeight w:val="153"/>
        </w:trPr>
        <w:tc>
          <w:tcPr>
            <w:tcW w:w="48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2"/>
                <w:szCs w:val="12"/>
                <w:b w:val="1"/>
                <w:bCs w:val="1"/>
                <w:color w:val="auto"/>
                <w:w w:val="99"/>
              </w:rPr>
              <w:t>2024</w:t>
            </w:r>
          </w:p>
        </w:tc>
        <w:tc>
          <w:tcPr>
            <w:tcW w:w="920" w:type="dxa"/>
            <w:vAlign w:val="bottom"/>
            <w:shd w:val="clear" w:color="auto" w:fill="CCEEFF"/>
          </w:tcPr>
          <w:p>
            <w:pPr>
              <w:jc w:val="right"/>
              <w:ind w:right="703"/>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 $</w:t>
            </w: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21,096,840</w:t>
            </w:r>
          </w:p>
        </w:tc>
        <w:tc>
          <w:tcPr>
            <w:tcW w:w="32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16,716,406</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109.61</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102.55</w:t>
            </w:r>
          </w:p>
        </w:tc>
        <w:tc>
          <w:tcPr>
            <w:tcW w:w="600" w:type="dxa"/>
            <w:vAlign w:val="bottom"/>
            <w:shd w:val="clear" w:color="auto" w:fill="CCEEFF"/>
          </w:tcPr>
          <w:p>
            <w:pPr>
              <w:jc w:val="right"/>
              <w:ind w:right="463"/>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181.80</w:t>
            </w:r>
          </w:p>
        </w:tc>
        <w:tc>
          <w:tcPr>
            <w:tcW w:w="620" w:type="dxa"/>
            <w:vAlign w:val="bottom"/>
            <w:shd w:val="clear" w:color="auto" w:fill="CCEEFF"/>
          </w:tcPr>
          <w:p>
            <w:pPr>
              <w:jc w:val="right"/>
              <w:ind w:right="483"/>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178.09</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(242,387)</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949,999</w:t>
            </w:r>
          </w:p>
        </w:tc>
      </w:tr>
      <w:tr>
        <w:trPr>
          <w:trHeight w:val="153"/>
        </w:trPr>
        <w:tc>
          <w:tcPr>
            <w:tcW w:w="480" w:type="dxa"/>
            <w:vAlign w:val="bottom"/>
          </w:tcPr>
          <w:p>
            <w:pPr>
              <w:jc w:val="center"/>
              <w:ind w:left="21"/>
              <w:spacing w:after="0"/>
              <w:rPr>
                <w:sz w:val="20"/>
                <w:szCs w:val="20"/>
                <w:color w:val="auto"/>
              </w:rPr>
            </w:pPr>
            <w:r>
              <w:rPr>
                <w:rFonts w:ascii="Times New Roman" w:cs="Times New Roman" w:eastAsia="Times New Roman" w:hAnsi="Times New Roman"/>
                <w:sz w:val="12"/>
                <w:szCs w:val="12"/>
                <w:b w:val="1"/>
                <w:bCs w:val="1"/>
                <w:color w:val="auto"/>
                <w:w w:val="99"/>
              </w:rPr>
              <w:t>2023</w:t>
            </w:r>
          </w:p>
        </w:tc>
        <w:tc>
          <w:tcPr>
            <w:tcW w:w="920" w:type="dxa"/>
            <w:vAlign w:val="bottom"/>
          </w:tcPr>
          <w:p>
            <w:pPr>
              <w:spacing w:after="0"/>
              <w:rPr>
                <w:sz w:val="13"/>
                <w:szCs w:val="13"/>
                <w:color w:val="auto"/>
              </w:rPr>
            </w:pPr>
          </w:p>
        </w:tc>
        <w:tc>
          <w:tcPr>
            <w:tcW w:w="11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1,550,000</w:t>
            </w:r>
          </w:p>
        </w:tc>
        <w:tc>
          <w:tcPr>
            <w:tcW w:w="3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1,550,000</w:t>
            </w: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271.41</w:t>
            </w: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139.04</w:t>
            </w:r>
          </w:p>
        </w:tc>
        <w:tc>
          <w:tcPr>
            <w:tcW w:w="6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171.92</w:t>
            </w:r>
          </w:p>
        </w:tc>
        <w:tc>
          <w:tcPr>
            <w:tcW w:w="6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175.51</w:t>
            </w:r>
          </w:p>
        </w:tc>
        <w:tc>
          <w:tcPr>
            <w:tcW w:w="2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548,876</w:t>
            </w:r>
          </w:p>
        </w:tc>
        <w:tc>
          <w:tcPr>
            <w:tcW w:w="28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1,282,430</w:t>
            </w:r>
          </w:p>
        </w:tc>
      </w:tr>
      <w:tr>
        <w:trPr>
          <w:trHeight w:val="153"/>
        </w:trPr>
        <w:tc>
          <w:tcPr>
            <w:tcW w:w="48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2"/>
                <w:szCs w:val="12"/>
                <w:b w:val="1"/>
                <w:bCs w:val="1"/>
                <w:color w:val="auto"/>
                <w:w w:val="99"/>
              </w:rPr>
              <w:t>2022</w:t>
            </w:r>
          </w:p>
        </w:tc>
        <w:tc>
          <w:tcPr>
            <w:tcW w:w="920" w:type="dxa"/>
            <w:vAlign w:val="bottom"/>
            <w:shd w:val="clear" w:color="auto" w:fill="CCEEFF"/>
          </w:tcPr>
          <w:p>
            <w:pPr>
              <w:spacing w:after="0"/>
              <w:rPr>
                <w:sz w:val="13"/>
                <w:szCs w:val="13"/>
                <w:color w:val="auto"/>
              </w:rPr>
            </w:pPr>
          </w:p>
        </w:tc>
        <w:tc>
          <w:tcPr>
            <w:tcW w:w="1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4,087,514</w:t>
            </w: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3,402,381</w:t>
            </w: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278.22</w:t>
            </w: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173.41</w:t>
            </w: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170.29</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169.86</w:t>
            </w: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184,786</w:t>
            </w: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1,071,309</w:t>
            </w:r>
          </w:p>
        </w:tc>
      </w:tr>
      <w:tr>
        <w:trPr>
          <w:trHeight w:val="153"/>
        </w:trPr>
        <w:tc>
          <w:tcPr>
            <w:tcW w:w="480" w:type="dxa"/>
            <w:vAlign w:val="bottom"/>
          </w:tcPr>
          <w:p>
            <w:pPr>
              <w:jc w:val="center"/>
              <w:ind w:left="21"/>
              <w:spacing w:after="0"/>
              <w:rPr>
                <w:sz w:val="20"/>
                <w:szCs w:val="20"/>
                <w:color w:val="auto"/>
              </w:rPr>
            </w:pPr>
            <w:r>
              <w:rPr>
                <w:rFonts w:ascii="Times New Roman" w:cs="Times New Roman" w:eastAsia="Times New Roman" w:hAnsi="Times New Roman"/>
                <w:sz w:val="12"/>
                <w:szCs w:val="12"/>
                <w:b w:val="1"/>
                <w:bCs w:val="1"/>
                <w:color w:val="auto"/>
                <w:w w:val="99"/>
              </w:rPr>
              <w:t>2021</w:t>
            </w:r>
          </w:p>
        </w:tc>
        <w:tc>
          <w:tcPr>
            <w:tcW w:w="920" w:type="dxa"/>
            <w:vAlign w:val="bottom"/>
          </w:tcPr>
          <w:p>
            <w:pPr>
              <w:spacing w:after="0"/>
              <w:rPr>
                <w:sz w:val="13"/>
                <w:szCs w:val="13"/>
                <w:color w:val="auto"/>
              </w:rPr>
            </w:pPr>
          </w:p>
        </w:tc>
        <w:tc>
          <w:tcPr>
            <w:tcW w:w="11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2,260,943</w:t>
            </w:r>
          </w:p>
        </w:tc>
        <w:tc>
          <w:tcPr>
            <w:tcW w:w="3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3,502,760</w:t>
            </w:r>
          </w:p>
        </w:tc>
        <w:tc>
          <w:tcPr>
            <w:tcW w:w="2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156.82</w:t>
            </w:r>
          </w:p>
        </w:tc>
        <w:tc>
          <w:tcPr>
            <w:tcW w:w="2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183.33</w:t>
            </w:r>
          </w:p>
        </w:tc>
        <w:tc>
          <w:tcPr>
            <w:tcW w:w="6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104.56</w:t>
            </w:r>
          </w:p>
        </w:tc>
        <w:tc>
          <w:tcPr>
            <w:tcW w:w="62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103.47</w:t>
            </w:r>
          </w:p>
        </w:tc>
        <w:tc>
          <w:tcPr>
            <w:tcW w:w="2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92,711</w:t>
            </w:r>
          </w:p>
        </w:tc>
        <w:tc>
          <w:tcPr>
            <w:tcW w:w="280" w:type="dxa"/>
            <w:vAlign w:val="bottom"/>
          </w:tcPr>
          <w:p>
            <w:pPr>
              <w:spacing w:after="0"/>
              <w:rPr>
                <w:sz w:val="13"/>
                <w:szCs w:val="13"/>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604,560</w:t>
            </w:r>
          </w:p>
        </w:tc>
      </w:tr>
      <w:tr>
        <w:trPr>
          <w:trHeight w:val="153"/>
        </w:trPr>
        <w:tc>
          <w:tcPr>
            <w:tcW w:w="480" w:type="dxa"/>
            <w:vAlign w:val="bottom"/>
            <w:shd w:val="clear" w:color="auto" w:fill="CCEEFF"/>
          </w:tcPr>
          <w:p>
            <w:pPr>
              <w:jc w:val="center"/>
              <w:ind w:left="21"/>
              <w:spacing w:after="0"/>
              <w:rPr>
                <w:sz w:val="20"/>
                <w:szCs w:val="20"/>
                <w:color w:val="auto"/>
              </w:rPr>
            </w:pPr>
            <w:r>
              <w:rPr>
                <w:rFonts w:ascii="Times New Roman" w:cs="Times New Roman" w:eastAsia="Times New Roman" w:hAnsi="Times New Roman"/>
                <w:sz w:val="12"/>
                <w:szCs w:val="12"/>
                <w:b w:val="1"/>
                <w:bCs w:val="1"/>
                <w:color w:val="auto"/>
                <w:w w:val="99"/>
              </w:rPr>
              <w:t>2020</w:t>
            </w:r>
          </w:p>
        </w:tc>
        <w:tc>
          <w:tcPr>
            <w:tcW w:w="920" w:type="dxa"/>
            <w:vAlign w:val="bottom"/>
            <w:shd w:val="clear" w:color="auto" w:fill="CCEEFF"/>
          </w:tcPr>
          <w:p>
            <w:pPr>
              <w:spacing w:after="0"/>
              <w:rPr>
                <w:sz w:val="13"/>
                <w:szCs w:val="13"/>
                <w:color w:val="auto"/>
              </w:rPr>
            </w:pPr>
          </w:p>
        </w:tc>
        <w:tc>
          <w:tcPr>
            <w:tcW w:w="1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1,736,742</w:t>
            </w:r>
          </w:p>
        </w:tc>
        <w:tc>
          <w:tcPr>
            <w:tcW w:w="32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3,801,911</w:t>
            </w:r>
          </w:p>
        </w:tc>
        <w:tc>
          <w:tcPr>
            <w:tcW w:w="28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344.01</w:t>
            </w: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241.80</w:t>
            </w:r>
          </w:p>
        </w:tc>
        <w:tc>
          <w:tcPr>
            <w:tcW w:w="6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66.94</w:t>
            </w:r>
          </w:p>
        </w:tc>
        <w:tc>
          <w:tcPr>
            <w:tcW w:w="62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67.49</w:t>
            </w: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(263,965)</w:t>
            </w: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33,322</w:t>
            </w:r>
          </w:p>
        </w:tc>
      </w:tr>
    </w:tbl>
    <w:p>
      <w:pPr>
        <w:spacing w:after="0" w:line="205" w:lineRule="exact"/>
        <w:rPr>
          <w:sz w:val="20"/>
          <w:szCs w:val="20"/>
          <w:color w:val="auto"/>
        </w:rPr>
      </w:pPr>
    </w:p>
    <w:p>
      <w:pPr>
        <w:ind w:left="420" w:hanging="416"/>
        <w:spacing w:after="0"/>
        <w:tabs>
          <w:tab w:leader="none" w:pos="420" w:val="left"/>
        </w:tabs>
        <w:numPr>
          <w:ilvl w:val="0"/>
          <w:numId w:val="1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For all five years shown in the table, our principal executive officer (“PEO”) was Mr. Edens, and our non-PEO named executive officers were Mr. Guinta and Ms. Shin, except that Mr. Dete is included as a non-PEO named executive officer for 2024.</w:t>
      </w:r>
    </w:p>
    <w:p>
      <w:pPr>
        <w:spacing w:after="0" w:line="21" w:lineRule="exact"/>
        <w:rPr>
          <w:rFonts w:ascii="Times New Roman" w:cs="Times New Roman" w:eastAsia="Times New Roman" w:hAnsi="Times New Roman"/>
          <w:sz w:val="12"/>
          <w:szCs w:val="12"/>
          <w:color w:val="auto"/>
          <w:vertAlign w:val="superscript"/>
        </w:rPr>
      </w:pPr>
    </w:p>
    <w:p>
      <w:pPr>
        <w:ind w:left="420" w:right="280" w:hanging="416"/>
        <w:spacing w:after="0" w:line="193" w:lineRule="auto"/>
        <w:tabs>
          <w:tab w:leader="none" w:pos="420" w:val="left"/>
        </w:tabs>
        <w:numPr>
          <w:ilvl w:val="0"/>
          <w:numId w:val="15"/>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amounts in the following table represent each of the average amounts deducted and added to the equity award values for our non-PEO named executive officers for 2024 for purposes of computing the average “compensation actually paid” for our non-PEO named executive officers for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vMerge w:val="restart"/>
          </w:tcPr>
          <w:p>
            <w:pPr>
              <w:jc w:val="center"/>
              <w:ind w:right="190"/>
              <w:spacing w:after="0"/>
              <w:rPr>
                <w:sz w:val="20"/>
                <w:szCs w:val="20"/>
                <w:color w:val="auto"/>
              </w:rPr>
            </w:pPr>
            <w:r>
              <w:rPr>
                <w:rFonts w:ascii="Times New Roman" w:cs="Times New Roman" w:eastAsia="Times New Roman" w:hAnsi="Times New Roman"/>
                <w:sz w:val="10"/>
                <w:szCs w:val="10"/>
                <w:b w:val="1"/>
                <w:bCs w:val="1"/>
                <w:color w:val="auto"/>
                <w:w w:val="95"/>
              </w:rPr>
              <w:t>Minus</w:t>
            </w:r>
          </w:p>
        </w:tc>
        <w:tc>
          <w:tcPr>
            <w:tcW w:w="300" w:type="dxa"/>
            <w:vAlign w:val="bottom"/>
          </w:tcPr>
          <w:p>
            <w:pPr>
              <w:spacing w:after="0"/>
              <w:rPr>
                <w:sz w:val="10"/>
                <w:szCs w:val="10"/>
                <w:color w:val="auto"/>
              </w:rPr>
            </w:pPr>
          </w:p>
        </w:tc>
        <w:tc>
          <w:tcPr>
            <w:tcW w:w="1580" w:type="dxa"/>
            <w:vAlign w:val="bottom"/>
            <w:vMerge w:val="restart"/>
          </w:tcPr>
          <w:p>
            <w:pPr>
              <w:jc w:val="center"/>
              <w:ind w:right="230"/>
              <w:spacing w:after="0"/>
              <w:rPr>
                <w:sz w:val="20"/>
                <w:szCs w:val="20"/>
                <w:color w:val="auto"/>
              </w:rPr>
            </w:pPr>
            <w:r>
              <w:rPr>
                <w:rFonts w:ascii="Times New Roman" w:cs="Times New Roman" w:eastAsia="Times New Roman" w:hAnsi="Times New Roman"/>
                <w:sz w:val="10"/>
                <w:szCs w:val="10"/>
                <w:b w:val="1"/>
                <w:bCs w:val="1"/>
                <w:color w:val="auto"/>
                <w:w w:val="97"/>
              </w:rPr>
              <w:t>Plus</w:t>
            </w:r>
          </w:p>
        </w:tc>
        <w:tc>
          <w:tcPr>
            <w:tcW w:w="140" w:type="dxa"/>
            <w:vAlign w:val="bottom"/>
          </w:tcPr>
          <w:p>
            <w:pPr>
              <w:spacing w:after="0"/>
              <w:rPr>
                <w:sz w:val="10"/>
                <w:szCs w:val="10"/>
                <w:color w:val="auto"/>
              </w:rPr>
            </w:pPr>
          </w:p>
        </w:tc>
        <w:tc>
          <w:tcPr>
            <w:tcW w:w="2160" w:type="dxa"/>
            <w:vAlign w:val="bottom"/>
            <w:vMerge w:val="restart"/>
          </w:tcPr>
          <w:p>
            <w:pPr>
              <w:jc w:val="center"/>
              <w:ind w:right="370"/>
              <w:spacing w:after="0"/>
              <w:rPr>
                <w:sz w:val="20"/>
                <w:szCs w:val="20"/>
                <w:color w:val="auto"/>
              </w:rPr>
            </w:pPr>
            <w:r>
              <w:rPr>
                <w:rFonts w:ascii="Times New Roman" w:cs="Times New Roman" w:eastAsia="Times New Roman" w:hAnsi="Times New Roman"/>
                <w:sz w:val="10"/>
                <w:szCs w:val="10"/>
                <w:b w:val="1"/>
                <w:bCs w:val="1"/>
                <w:color w:val="auto"/>
                <w:w w:val="97"/>
              </w:rPr>
              <w:t>Plus</w:t>
            </w:r>
          </w:p>
        </w:tc>
        <w:tc>
          <w:tcPr>
            <w:tcW w:w="1680" w:type="dxa"/>
            <w:vAlign w:val="bottom"/>
          </w:tcPr>
          <w:p>
            <w:pPr>
              <w:jc w:val="center"/>
              <w:ind w:right="331"/>
              <w:spacing w:after="0"/>
              <w:rPr>
                <w:sz w:val="20"/>
                <w:szCs w:val="20"/>
                <w:color w:val="auto"/>
              </w:rPr>
            </w:pPr>
            <w:r>
              <w:rPr>
                <w:rFonts w:ascii="Times New Roman" w:cs="Times New Roman" w:eastAsia="Times New Roman" w:hAnsi="Times New Roman"/>
                <w:sz w:val="10"/>
                <w:szCs w:val="10"/>
                <w:b w:val="1"/>
                <w:bCs w:val="1"/>
                <w:color w:val="auto"/>
                <w:w w:val="97"/>
              </w:rPr>
              <w:t>Plus</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2160" w:type="dxa"/>
            <w:vAlign w:val="bottom"/>
            <w:vMerge w:val="continue"/>
          </w:tcPr>
          <w:p>
            <w:pPr>
              <w:spacing w:after="0"/>
              <w:rPr>
                <w:sz w:val="8"/>
                <w:szCs w:val="8"/>
                <w:color w:val="auto"/>
              </w:rPr>
            </w:pPr>
          </w:p>
        </w:tc>
        <w:tc>
          <w:tcPr>
            <w:tcW w:w="1680" w:type="dxa"/>
            <w:vAlign w:val="bottom"/>
          </w:tcPr>
          <w:p>
            <w:pPr>
              <w:jc w:val="center"/>
              <w:ind w:right="371"/>
              <w:spacing w:after="0" w:line="99" w:lineRule="exact"/>
              <w:rPr>
                <w:sz w:val="20"/>
                <w:szCs w:val="20"/>
                <w:color w:val="auto"/>
              </w:rPr>
            </w:pPr>
            <w:r>
              <w:rPr>
                <w:rFonts w:ascii="Times New Roman" w:cs="Times New Roman" w:eastAsia="Times New Roman" w:hAnsi="Times New Roman"/>
                <w:sz w:val="10"/>
                <w:szCs w:val="10"/>
                <w:b w:val="1"/>
                <w:bCs w:val="1"/>
                <w:color w:val="auto"/>
                <w:w w:val="95"/>
              </w:rPr>
              <w:t>Average Change in</w:t>
            </w:r>
          </w:p>
        </w:tc>
        <w:tc>
          <w:tcPr>
            <w:tcW w:w="1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60" w:type="dxa"/>
            <w:vAlign w:val="bottom"/>
          </w:tcPr>
          <w:p>
            <w:pPr>
              <w:jc w:val="center"/>
              <w:ind w:right="210"/>
              <w:spacing w:after="0" w:line="98" w:lineRule="exact"/>
              <w:rPr>
                <w:sz w:val="20"/>
                <w:szCs w:val="20"/>
                <w:color w:val="auto"/>
              </w:rPr>
            </w:pPr>
            <w:r>
              <w:rPr>
                <w:rFonts w:ascii="Times New Roman" w:cs="Times New Roman" w:eastAsia="Times New Roman" w:hAnsi="Times New Roman"/>
                <w:sz w:val="10"/>
                <w:szCs w:val="10"/>
                <w:b w:val="1"/>
                <w:bCs w:val="1"/>
                <w:color w:val="auto"/>
                <w:w w:val="96"/>
              </w:rPr>
              <w:t>Average Grant Date</w:t>
            </w:r>
          </w:p>
        </w:tc>
        <w:tc>
          <w:tcPr>
            <w:tcW w:w="300" w:type="dxa"/>
            <w:vAlign w:val="bottom"/>
          </w:tcPr>
          <w:p>
            <w:pPr>
              <w:spacing w:after="0"/>
              <w:rPr>
                <w:sz w:val="8"/>
                <w:szCs w:val="8"/>
                <w:color w:val="auto"/>
              </w:rPr>
            </w:pPr>
          </w:p>
        </w:tc>
        <w:tc>
          <w:tcPr>
            <w:tcW w:w="1580" w:type="dxa"/>
            <w:vAlign w:val="bottom"/>
          </w:tcPr>
          <w:p>
            <w:pPr>
              <w:jc w:val="center"/>
              <w:ind w:right="270"/>
              <w:spacing w:after="0" w:line="98" w:lineRule="exact"/>
              <w:rPr>
                <w:sz w:val="20"/>
                <w:szCs w:val="20"/>
                <w:color w:val="auto"/>
              </w:rPr>
            </w:pPr>
            <w:r>
              <w:rPr>
                <w:rFonts w:ascii="Times New Roman" w:cs="Times New Roman" w:eastAsia="Times New Roman" w:hAnsi="Times New Roman"/>
                <w:sz w:val="10"/>
                <w:szCs w:val="10"/>
                <w:b w:val="1"/>
                <w:bCs w:val="1"/>
                <w:color w:val="auto"/>
                <w:w w:val="92"/>
              </w:rPr>
              <w:t>Average Year-End</w:t>
            </w:r>
          </w:p>
        </w:tc>
        <w:tc>
          <w:tcPr>
            <w:tcW w:w="140" w:type="dxa"/>
            <w:vAlign w:val="bottom"/>
          </w:tcPr>
          <w:p>
            <w:pPr>
              <w:spacing w:after="0"/>
              <w:rPr>
                <w:sz w:val="8"/>
                <w:szCs w:val="8"/>
                <w:color w:val="auto"/>
              </w:rPr>
            </w:pPr>
          </w:p>
        </w:tc>
        <w:tc>
          <w:tcPr>
            <w:tcW w:w="2160" w:type="dxa"/>
            <w:vAlign w:val="bottom"/>
          </w:tcPr>
          <w:p>
            <w:pPr>
              <w:jc w:val="center"/>
              <w:ind w:right="410"/>
              <w:spacing w:after="0" w:line="98" w:lineRule="exact"/>
              <w:rPr>
                <w:sz w:val="20"/>
                <w:szCs w:val="20"/>
                <w:color w:val="auto"/>
              </w:rPr>
            </w:pPr>
            <w:r>
              <w:rPr>
                <w:rFonts w:ascii="Times New Roman" w:cs="Times New Roman" w:eastAsia="Times New Roman" w:hAnsi="Times New Roman"/>
                <w:sz w:val="10"/>
                <w:szCs w:val="10"/>
                <w:b w:val="1"/>
                <w:bCs w:val="1"/>
                <w:color w:val="auto"/>
                <w:w w:val="95"/>
              </w:rPr>
              <w:t>Average Change in</w:t>
            </w:r>
          </w:p>
        </w:tc>
        <w:tc>
          <w:tcPr>
            <w:tcW w:w="1680" w:type="dxa"/>
            <w:vAlign w:val="bottom"/>
          </w:tcPr>
          <w:p>
            <w:pPr>
              <w:jc w:val="center"/>
              <w:ind w:right="351"/>
              <w:spacing w:after="0" w:line="98" w:lineRule="exact"/>
              <w:rPr>
                <w:sz w:val="20"/>
                <w:szCs w:val="20"/>
                <w:color w:val="auto"/>
              </w:rPr>
            </w:pPr>
            <w:r>
              <w:rPr>
                <w:rFonts w:ascii="Times New Roman" w:cs="Times New Roman" w:eastAsia="Times New Roman" w:hAnsi="Times New Roman"/>
                <w:sz w:val="10"/>
                <w:szCs w:val="10"/>
                <w:b w:val="1"/>
                <w:bCs w:val="1"/>
                <w:color w:val="auto"/>
                <w:w w:val="95"/>
              </w:rPr>
              <w:t>Fair Value as of the</w:t>
            </w:r>
          </w:p>
        </w:tc>
        <w:tc>
          <w:tcPr>
            <w:tcW w:w="1520" w:type="dxa"/>
            <w:vAlign w:val="bottom"/>
            <w:vMerge w:val="restart"/>
          </w:tcPr>
          <w:p>
            <w:pPr>
              <w:jc w:val="center"/>
              <w:ind w:right="50"/>
              <w:spacing w:after="0"/>
              <w:rPr>
                <w:sz w:val="20"/>
                <w:szCs w:val="20"/>
                <w:color w:val="auto"/>
              </w:rPr>
            </w:pPr>
            <w:r>
              <w:rPr>
                <w:rFonts w:ascii="Times New Roman" w:cs="Times New Roman" w:eastAsia="Times New Roman" w:hAnsi="Times New Roman"/>
                <w:sz w:val="10"/>
                <w:szCs w:val="10"/>
                <w:b w:val="1"/>
                <w:bCs w:val="1"/>
                <w:color w:val="auto"/>
              </w:rPr>
              <w:t>Equals</w:t>
            </w:r>
          </w:p>
        </w:tc>
        <w:tc>
          <w:tcPr>
            <w:tcW w:w="0" w:type="dxa"/>
            <w:vAlign w:val="bottom"/>
          </w:tcPr>
          <w:p>
            <w:pPr>
              <w:spacing w:after="0"/>
              <w:rPr>
                <w:sz w:val="1"/>
                <w:szCs w:val="1"/>
                <w:color w:val="auto"/>
              </w:rPr>
            </w:pPr>
          </w:p>
        </w:tc>
      </w:tr>
      <w:tr>
        <w:trPr>
          <w:trHeight w:val="99"/>
        </w:trPr>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520" w:type="dxa"/>
            <w:vAlign w:val="bottom"/>
            <w:vMerge w:val="restart"/>
          </w:tcPr>
          <w:p>
            <w:pPr>
              <w:jc w:val="center"/>
              <w:ind w:right="9"/>
              <w:spacing w:after="0"/>
              <w:rPr>
                <w:sz w:val="20"/>
                <w:szCs w:val="20"/>
                <w:color w:val="auto"/>
              </w:rPr>
            </w:pPr>
            <w:r>
              <w:rPr>
                <w:rFonts w:ascii="Times New Roman" w:cs="Times New Roman" w:eastAsia="Times New Roman" w:hAnsi="Times New Roman"/>
                <w:sz w:val="10"/>
                <w:szCs w:val="10"/>
                <w:b w:val="1"/>
                <w:bCs w:val="1"/>
                <w:color w:val="auto"/>
                <w:w w:val="95"/>
              </w:rPr>
              <w:t>Average Summary Compensation</w:t>
            </w:r>
          </w:p>
        </w:tc>
        <w:tc>
          <w:tcPr>
            <w:tcW w:w="280" w:type="dxa"/>
            <w:vAlign w:val="bottom"/>
          </w:tcPr>
          <w:p>
            <w:pPr>
              <w:spacing w:after="0"/>
              <w:rPr>
                <w:sz w:val="8"/>
                <w:szCs w:val="8"/>
                <w:color w:val="auto"/>
              </w:rPr>
            </w:pPr>
          </w:p>
        </w:tc>
        <w:tc>
          <w:tcPr>
            <w:tcW w:w="1460" w:type="dxa"/>
            <w:vAlign w:val="bottom"/>
          </w:tcPr>
          <w:p>
            <w:pPr>
              <w:jc w:val="center"/>
              <w:ind w:right="210"/>
              <w:spacing w:after="0" w:line="99" w:lineRule="exact"/>
              <w:rPr>
                <w:sz w:val="20"/>
                <w:szCs w:val="20"/>
                <w:color w:val="auto"/>
              </w:rPr>
            </w:pPr>
            <w:r>
              <w:rPr>
                <w:rFonts w:ascii="Times New Roman" w:cs="Times New Roman" w:eastAsia="Times New Roman" w:hAnsi="Times New Roman"/>
                <w:sz w:val="10"/>
                <w:szCs w:val="10"/>
                <w:b w:val="1"/>
                <w:bCs w:val="1"/>
                <w:color w:val="auto"/>
                <w:w w:val="95"/>
              </w:rPr>
              <w:t>Fair Value of Equity</w:t>
            </w:r>
          </w:p>
        </w:tc>
        <w:tc>
          <w:tcPr>
            <w:tcW w:w="300" w:type="dxa"/>
            <w:vAlign w:val="bottom"/>
          </w:tcPr>
          <w:p>
            <w:pPr>
              <w:spacing w:after="0"/>
              <w:rPr>
                <w:sz w:val="8"/>
                <w:szCs w:val="8"/>
                <w:color w:val="auto"/>
              </w:rPr>
            </w:pPr>
          </w:p>
        </w:tc>
        <w:tc>
          <w:tcPr>
            <w:tcW w:w="1580" w:type="dxa"/>
            <w:vAlign w:val="bottom"/>
          </w:tcPr>
          <w:p>
            <w:pPr>
              <w:jc w:val="center"/>
              <w:ind w:right="250"/>
              <w:spacing w:after="0" w:line="99" w:lineRule="exact"/>
              <w:rPr>
                <w:sz w:val="20"/>
                <w:szCs w:val="20"/>
                <w:color w:val="auto"/>
              </w:rPr>
            </w:pPr>
            <w:r>
              <w:rPr>
                <w:rFonts w:ascii="Times New Roman" w:cs="Times New Roman" w:eastAsia="Times New Roman" w:hAnsi="Times New Roman"/>
                <w:sz w:val="10"/>
                <w:szCs w:val="10"/>
                <w:b w:val="1"/>
                <w:bCs w:val="1"/>
                <w:color w:val="auto"/>
                <w:w w:val="95"/>
              </w:rPr>
              <w:t>Fair Value of Equity</w:t>
            </w:r>
          </w:p>
        </w:tc>
        <w:tc>
          <w:tcPr>
            <w:tcW w:w="140" w:type="dxa"/>
            <w:vAlign w:val="bottom"/>
          </w:tcPr>
          <w:p>
            <w:pPr>
              <w:spacing w:after="0"/>
              <w:rPr>
                <w:sz w:val="8"/>
                <w:szCs w:val="8"/>
                <w:color w:val="auto"/>
              </w:rPr>
            </w:pPr>
          </w:p>
        </w:tc>
        <w:tc>
          <w:tcPr>
            <w:tcW w:w="2160" w:type="dxa"/>
            <w:vAlign w:val="bottom"/>
          </w:tcPr>
          <w:p>
            <w:pPr>
              <w:jc w:val="center"/>
              <w:ind w:right="370"/>
              <w:spacing w:after="0" w:line="99" w:lineRule="exact"/>
              <w:rPr>
                <w:sz w:val="20"/>
                <w:szCs w:val="20"/>
                <w:color w:val="auto"/>
              </w:rPr>
            </w:pPr>
            <w:r>
              <w:rPr>
                <w:rFonts w:ascii="Times New Roman" w:cs="Times New Roman" w:eastAsia="Times New Roman" w:hAnsi="Times New Roman"/>
                <w:sz w:val="10"/>
                <w:szCs w:val="10"/>
                <w:b w:val="1"/>
                <w:bCs w:val="1"/>
                <w:color w:val="auto"/>
                <w:w w:val="93"/>
              </w:rPr>
              <w:t>Fair Value as of Year-End of Any Prior</w:t>
            </w:r>
          </w:p>
        </w:tc>
        <w:tc>
          <w:tcPr>
            <w:tcW w:w="1680" w:type="dxa"/>
            <w:vAlign w:val="bottom"/>
          </w:tcPr>
          <w:p>
            <w:pPr>
              <w:jc w:val="center"/>
              <w:ind w:right="331"/>
              <w:spacing w:after="0" w:line="99" w:lineRule="exact"/>
              <w:rPr>
                <w:sz w:val="20"/>
                <w:szCs w:val="20"/>
                <w:color w:val="auto"/>
              </w:rPr>
            </w:pPr>
            <w:r>
              <w:rPr>
                <w:rFonts w:ascii="Times New Roman" w:cs="Times New Roman" w:eastAsia="Times New Roman" w:hAnsi="Times New Roman"/>
                <w:sz w:val="10"/>
                <w:szCs w:val="10"/>
                <w:b w:val="1"/>
                <w:bCs w:val="1"/>
                <w:color w:val="auto"/>
                <w:w w:val="95"/>
              </w:rPr>
              <w:t>Vesting Date of Any</w:t>
            </w:r>
          </w:p>
        </w:tc>
        <w:tc>
          <w:tcPr>
            <w:tcW w:w="1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460" w:type="dxa"/>
            <w:vAlign w:val="bottom"/>
          </w:tcPr>
          <w:p>
            <w:pPr>
              <w:jc w:val="center"/>
              <w:ind w:right="210"/>
              <w:spacing w:after="0" w:line="92" w:lineRule="exact"/>
              <w:rPr>
                <w:sz w:val="20"/>
                <w:szCs w:val="20"/>
                <w:color w:val="auto"/>
              </w:rPr>
            </w:pPr>
            <w:r>
              <w:rPr>
                <w:rFonts w:ascii="Times New Roman" w:cs="Times New Roman" w:eastAsia="Times New Roman" w:hAnsi="Times New Roman"/>
                <w:sz w:val="10"/>
                <w:szCs w:val="10"/>
                <w:b w:val="1"/>
                <w:bCs w:val="1"/>
                <w:color w:val="auto"/>
                <w:w w:val="94"/>
              </w:rPr>
              <w:t>Awards Granted</w:t>
            </w:r>
          </w:p>
        </w:tc>
        <w:tc>
          <w:tcPr>
            <w:tcW w:w="300" w:type="dxa"/>
            <w:vAlign w:val="bottom"/>
          </w:tcPr>
          <w:p>
            <w:pPr>
              <w:spacing w:after="0"/>
              <w:rPr>
                <w:sz w:val="7"/>
                <w:szCs w:val="7"/>
                <w:color w:val="auto"/>
              </w:rPr>
            </w:pPr>
          </w:p>
        </w:tc>
        <w:tc>
          <w:tcPr>
            <w:tcW w:w="1580" w:type="dxa"/>
            <w:vAlign w:val="bottom"/>
          </w:tcPr>
          <w:p>
            <w:pPr>
              <w:jc w:val="center"/>
              <w:ind w:right="250"/>
              <w:spacing w:after="0" w:line="92" w:lineRule="exact"/>
              <w:rPr>
                <w:sz w:val="20"/>
                <w:szCs w:val="20"/>
                <w:color w:val="auto"/>
              </w:rPr>
            </w:pPr>
            <w:r>
              <w:rPr>
                <w:rFonts w:ascii="Times New Roman" w:cs="Times New Roman" w:eastAsia="Times New Roman" w:hAnsi="Times New Roman"/>
                <w:sz w:val="10"/>
                <w:szCs w:val="10"/>
                <w:b w:val="1"/>
                <w:bCs w:val="1"/>
                <w:color w:val="auto"/>
                <w:w w:val="94"/>
              </w:rPr>
              <w:t>Awards Granted</w:t>
            </w:r>
          </w:p>
        </w:tc>
        <w:tc>
          <w:tcPr>
            <w:tcW w:w="140" w:type="dxa"/>
            <w:vAlign w:val="bottom"/>
          </w:tcPr>
          <w:p>
            <w:pPr>
              <w:spacing w:after="0"/>
              <w:rPr>
                <w:sz w:val="7"/>
                <w:szCs w:val="7"/>
                <w:color w:val="auto"/>
              </w:rPr>
            </w:pPr>
          </w:p>
        </w:tc>
        <w:tc>
          <w:tcPr>
            <w:tcW w:w="2160" w:type="dxa"/>
            <w:vAlign w:val="bottom"/>
          </w:tcPr>
          <w:p>
            <w:pPr>
              <w:ind w:left="540"/>
              <w:spacing w:after="0" w:line="92" w:lineRule="exact"/>
              <w:rPr>
                <w:sz w:val="20"/>
                <w:szCs w:val="20"/>
                <w:color w:val="auto"/>
              </w:rPr>
            </w:pPr>
            <w:r>
              <w:rPr>
                <w:rFonts w:ascii="Times New Roman" w:cs="Times New Roman" w:eastAsia="Times New Roman" w:hAnsi="Times New Roman"/>
                <w:sz w:val="10"/>
                <w:szCs w:val="10"/>
                <w:b w:val="1"/>
                <w:bCs w:val="1"/>
                <w:color w:val="auto"/>
              </w:rPr>
              <w:t>Year Awards that</w:t>
            </w:r>
          </w:p>
        </w:tc>
        <w:tc>
          <w:tcPr>
            <w:tcW w:w="1680" w:type="dxa"/>
            <w:vAlign w:val="bottom"/>
          </w:tcPr>
          <w:p>
            <w:pPr>
              <w:jc w:val="center"/>
              <w:ind w:right="371"/>
              <w:spacing w:after="0" w:line="92" w:lineRule="exact"/>
              <w:rPr>
                <w:sz w:val="20"/>
                <w:szCs w:val="20"/>
                <w:color w:val="auto"/>
              </w:rPr>
            </w:pPr>
            <w:r>
              <w:rPr>
                <w:rFonts w:ascii="Times New Roman" w:cs="Times New Roman" w:eastAsia="Times New Roman" w:hAnsi="Times New Roman"/>
                <w:sz w:val="10"/>
                <w:szCs w:val="10"/>
                <w:b w:val="1"/>
                <w:bCs w:val="1"/>
                <w:color w:val="auto"/>
                <w:w w:val="94"/>
              </w:rPr>
              <w:t>Prior Year Awards</w:t>
            </w:r>
          </w:p>
        </w:tc>
        <w:tc>
          <w:tcPr>
            <w:tcW w:w="1520" w:type="dxa"/>
            <w:vAlign w:val="bottom"/>
          </w:tcPr>
          <w:p>
            <w:pPr>
              <w:jc w:val="center"/>
              <w:ind w:right="50"/>
              <w:spacing w:after="0" w:line="92" w:lineRule="exact"/>
              <w:rPr>
                <w:sz w:val="20"/>
                <w:szCs w:val="20"/>
                <w:color w:val="auto"/>
              </w:rPr>
            </w:pPr>
            <w:r>
              <w:rPr>
                <w:rFonts w:ascii="Times New Roman" w:cs="Times New Roman" w:eastAsia="Times New Roman" w:hAnsi="Times New Roman"/>
                <w:sz w:val="10"/>
                <w:szCs w:val="10"/>
                <w:b w:val="1"/>
                <w:bCs w:val="1"/>
                <w:color w:val="auto"/>
                <w:w w:val="94"/>
              </w:rPr>
              <w:t>Average Compensation</w:t>
            </w:r>
          </w:p>
        </w:tc>
        <w:tc>
          <w:tcPr>
            <w:tcW w:w="0" w:type="dxa"/>
            <w:vAlign w:val="bottom"/>
          </w:tcPr>
          <w:p>
            <w:pPr>
              <w:spacing w:after="0"/>
              <w:rPr>
                <w:sz w:val="1"/>
                <w:szCs w:val="1"/>
                <w:color w:val="auto"/>
              </w:rPr>
            </w:pPr>
          </w:p>
        </w:tc>
      </w:tr>
      <w:tr>
        <w:trPr>
          <w:trHeight w:val="97"/>
        </w:trPr>
        <w:tc>
          <w:tcPr>
            <w:tcW w:w="500" w:type="dxa"/>
            <w:vAlign w:val="bottom"/>
            <w:vMerge w:val="restart"/>
          </w:tcPr>
          <w:p>
            <w:pPr>
              <w:jc w:val="center"/>
              <w:ind w:left="6"/>
              <w:spacing w:after="0"/>
              <w:rPr>
                <w:sz w:val="20"/>
                <w:szCs w:val="20"/>
                <w:color w:val="auto"/>
              </w:rPr>
            </w:pPr>
            <w:r>
              <w:rPr>
                <w:rFonts w:ascii="Times New Roman" w:cs="Times New Roman" w:eastAsia="Times New Roman" w:hAnsi="Times New Roman"/>
                <w:sz w:val="10"/>
                <w:szCs w:val="10"/>
                <w:b w:val="1"/>
                <w:bCs w:val="1"/>
                <w:color w:val="auto"/>
                <w:w w:val="94"/>
              </w:rPr>
              <w:t>Year</w:t>
            </w:r>
          </w:p>
        </w:tc>
        <w:tc>
          <w:tcPr>
            <w:tcW w:w="160" w:type="dxa"/>
            <w:vAlign w:val="bottom"/>
          </w:tcPr>
          <w:p>
            <w:pPr>
              <w:spacing w:after="0"/>
              <w:rPr>
                <w:sz w:val="8"/>
                <w:szCs w:val="8"/>
                <w:color w:val="auto"/>
              </w:rPr>
            </w:pPr>
          </w:p>
        </w:tc>
        <w:tc>
          <w:tcPr>
            <w:tcW w:w="1520" w:type="dxa"/>
            <w:vAlign w:val="bottom"/>
          </w:tcPr>
          <w:p>
            <w:pPr>
              <w:jc w:val="center"/>
              <w:ind w:right="9"/>
              <w:spacing w:after="0" w:line="98" w:lineRule="exact"/>
              <w:rPr>
                <w:sz w:val="20"/>
                <w:szCs w:val="20"/>
                <w:color w:val="auto"/>
              </w:rPr>
            </w:pPr>
            <w:r>
              <w:rPr>
                <w:rFonts w:ascii="Times New Roman" w:cs="Times New Roman" w:eastAsia="Times New Roman" w:hAnsi="Times New Roman"/>
                <w:sz w:val="10"/>
                <w:szCs w:val="10"/>
                <w:b w:val="1"/>
                <w:bCs w:val="1"/>
                <w:color w:val="auto"/>
                <w:w w:val="95"/>
              </w:rPr>
              <w:t>Table Total for</w:t>
            </w:r>
          </w:p>
        </w:tc>
        <w:tc>
          <w:tcPr>
            <w:tcW w:w="280" w:type="dxa"/>
            <w:vAlign w:val="bottom"/>
          </w:tcPr>
          <w:p>
            <w:pPr>
              <w:spacing w:after="0"/>
              <w:rPr>
                <w:sz w:val="8"/>
                <w:szCs w:val="8"/>
                <w:color w:val="auto"/>
              </w:rPr>
            </w:pPr>
          </w:p>
        </w:tc>
        <w:tc>
          <w:tcPr>
            <w:tcW w:w="1460" w:type="dxa"/>
            <w:vAlign w:val="bottom"/>
          </w:tcPr>
          <w:p>
            <w:pPr>
              <w:jc w:val="center"/>
              <w:ind w:right="210"/>
              <w:spacing w:after="0" w:line="98" w:lineRule="exact"/>
              <w:rPr>
                <w:sz w:val="20"/>
                <w:szCs w:val="20"/>
                <w:color w:val="auto"/>
              </w:rPr>
            </w:pPr>
            <w:r>
              <w:rPr>
                <w:rFonts w:ascii="Times New Roman" w:cs="Times New Roman" w:eastAsia="Times New Roman" w:hAnsi="Times New Roman"/>
                <w:sz w:val="10"/>
                <w:szCs w:val="10"/>
                <w:b w:val="1"/>
                <w:bCs w:val="1"/>
                <w:color w:val="auto"/>
                <w:w w:val="95"/>
              </w:rPr>
              <w:t>During Applicable</w:t>
            </w:r>
          </w:p>
        </w:tc>
        <w:tc>
          <w:tcPr>
            <w:tcW w:w="300" w:type="dxa"/>
            <w:vAlign w:val="bottom"/>
          </w:tcPr>
          <w:p>
            <w:pPr>
              <w:spacing w:after="0"/>
              <w:rPr>
                <w:sz w:val="8"/>
                <w:szCs w:val="8"/>
                <w:color w:val="auto"/>
              </w:rPr>
            </w:pPr>
          </w:p>
        </w:tc>
        <w:tc>
          <w:tcPr>
            <w:tcW w:w="1580" w:type="dxa"/>
            <w:vAlign w:val="bottom"/>
          </w:tcPr>
          <w:p>
            <w:pPr>
              <w:jc w:val="center"/>
              <w:ind w:right="250"/>
              <w:spacing w:after="0" w:line="98" w:lineRule="exact"/>
              <w:rPr>
                <w:sz w:val="20"/>
                <w:szCs w:val="20"/>
                <w:color w:val="auto"/>
              </w:rPr>
            </w:pPr>
            <w:r>
              <w:rPr>
                <w:rFonts w:ascii="Times New Roman" w:cs="Times New Roman" w:eastAsia="Times New Roman" w:hAnsi="Times New Roman"/>
                <w:sz w:val="10"/>
                <w:szCs w:val="10"/>
                <w:b w:val="1"/>
                <w:bCs w:val="1"/>
                <w:color w:val="auto"/>
                <w:w w:val="95"/>
              </w:rPr>
              <w:t>During Applicable</w:t>
            </w:r>
          </w:p>
        </w:tc>
        <w:tc>
          <w:tcPr>
            <w:tcW w:w="140" w:type="dxa"/>
            <w:vAlign w:val="bottom"/>
          </w:tcPr>
          <w:p>
            <w:pPr>
              <w:spacing w:after="0"/>
              <w:rPr>
                <w:sz w:val="8"/>
                <w:szCs w:val="8"/>
                <w:color w:val="auto"/>
              </w:rPr>
            </w:pPr>
          </w:p>
        </w:tc>
        <w:tc>
          <w:tcPr>
            <w:tcW w:w="2160" w:type="dxa"/>
            <w:vAlign w:val="bottom"/>
          </w:tcPr>
          <w:p>
            <w:pPr>
              <w:jc w:val="center"/>
              <w:ind w:right="370"/>
              <w:spacing w:after="0" w:line="98" w:lineRule="exact"/>
              <w:rPr>
                <w:sz w:val="20"/>
                <w:szCs w:val="20"/>
                <w:color w:val="auto"/>
              </w:rPr>
            </w:pPr>
            <w:r>
              <w:rPr>
                <w:rFonts w:ascii="Times New Roman" w:cs="Times New Roman" w:eastAsia="Times New Roman" w:hAnsi="Times New Roman"/>
                <w:sz w:val="10"/>
                <w:szCs w:val="10"/>
                <w:b w:val="1"/>
                <w:bCs w:val="1"/>
                <w:color w:val="auto"/>
                <w:w w:val="94"/>
              </w:rPr>
              <w:t>Remain Unvested as</w:t>
            </w:r>
          </w:p>
        </w:tc>
        <w:tc>
          <w:tcPr>
            <w:tcW w:w="1680" w:type="dxa"/>
            <w:vAlign w:val="bottom"/>
          </w:tcPr>
          <w:p>
            <w:pPr>
              <w:jc w:val="center"/>
              <w:ind w:right="371"/>
              <w:spacing w:after="0" w:line="98" w:lineRule="exact"/>
              <w:rPr>
                <w:sz w:val="20"/>
                <w:szCs w:val="20"/>
                <w:color w:val="auto"/>
              </w:rPr>
            </w:pPr>
            <w:r>
              <w:rPr>
                <w:rFonts w:ascii="Times New Roman" w:cs="Times New Roman" w:eastAsia="Times New Roman" w:hAnsi="Times New Roman"/>
                <w:sz w:val="10"/>
                <w:szCs w:val="10"/>
                <w:b w:val="1"/>
                <w:bCs w:val="1"/>
                <w:color w:val="auto"/>
                <w:w w:val="95"/>
              </w:rPr>
              <w:t>that Vested During</w:t>
            </w:r>
          </w:p>
        </w:tc>
        <w:tc>
          <w:tcPr>
            <w:tcW w:w="1520" w:type="dxa"/>
            <w:vAlign w:val="bottom"/>
          </w:tcPr>
          <w:p>
            <w:pPr>
              <w:jc w:val="center"/>
              <w:ind w:right="30"/>
              <w:spacing w:after="0" w:line="98" w:lineRule="exact"/>
              <w:rPr>
                <w:sz w:val="20"/>
                <w:szCs w:val="20"/>
                <w:color w:val="auto"/>
              </w:rPr>
            </w:pPr>
            <w:r>
              <w:rPr>
                <w:rFonts w:ascii="Times New Roman" w:cs="Times New Roman" w:eastAsia="Times New Roman" w:hAnsi="Times New Roman"/>
                <w:sz w:val="10"/>
                <w:szCs w:val="10"/>
                <w:b w:val="1"/>
                <w:bCs w:val="1"/>
                <w:color w:val="auto"/>
                <w:w w:val="95"/>
              </w:rPr>
              <w:t>Actually Paid to Non-PEO Named</w:t>
            </w:r>
          </w:p>
        </w:tc>
        <w:tc>
          <w:tcPr>
            <w:tcW w:w="0" w:type="dxa"/>
            <w:vAlign w:val="bottom"/>
          </w:tcPr>
          <w:p>
            <w:pPr>
              <w:spacing w:after="0"/>
              <w:rPr>
                <w:sz w:val="1"/>
                <w:szCs w:val="1"/>
                <w:color w:val="auto"/>
              </w:rPr>
            </w:pPr>
          </w:p>
        </w:tc>
      </w:tr>
      <w:tr>
        <w:trPr>
          <w:trHeight w:val="131"/>
        </w:trPr>
        <w:tc>
          <w:tcPr>
            <w:tcW w:w="500" w:type="dxa"/>
            <w:vAlign w:val="bottom"/>
            <w:tcBorders>
              <w:bottom w:val="single" w:sz="8" w:color="auto"/>
            </w:tcBorders>
            <w:vMerge w:val="continue"/>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Non-PEO Named Executive Officers</w:t>
            </w:r>
          </w:p>
        </w:tc>
        <w:tc>
          <w:tcPr>
            <w:tcW w:w="2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center"/>
              <w:ind w:right="210"/>
              <w:spacing w:after="0"/>
              <w:rPr>
                <w:sz w:val="20"/>
                <w:szCs w:val="20"/>
                <w:color w:val="auto"/>
              </w:rPr>
            </w:pPr>
            <w:r>
              <w:rPr>
                <w:rFonts w:ascii="Times New Roman" w:cs="Times New Roman" w:eastAsia="Times New Roman" w:hAnsi="Times New Roman"/>
                <w:sz w:val="10"/>
                <w:szCs w:val="10"/>
                <w:b w:val="1"/>
                <w:bCs w:val="1"/>
                <w:color w:val="auto"/>
                <w:w w:val="94"/>
              </w:rPr>
              <w:t>Year</w:t>
            </w:r>
          </w:p>
        </w:tc>
        <w:tc>
          <w:tcPr>
            <w:tcW w:w="3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0"/>
                <w:szCs w:val="10"/>
                <w:b w:val="1"/>
                <w:bCs w:val="1"/>
                <w:color w:val="auto"/>
                <w:w w:val="94"/>
              </w:rPr>
              <w:t>Year</w:t>
            </w:r>
          </w:p>
        </w:tc>
        <w:tc>
          <w:tcPr>
            <w:tcW w:w="14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0"/>
                <w:szCs w:val="10"/>
                <w:b w:val="1"/>
                <w:bCs w:val="1"/>
                <w:color w:val="auto"/>
                <w:w w:val="94"/>
              </w:rPr>
              <w:t>of Year-End</w:t>
            </w:r>
          </w:p>
        </w:tc>
        <w:tc>
          <w:tcPr>
            <w:tcW w:w="1680" w:type="dxa"/>
            <w:vAlign w:val="bottom"/>
            <w:tcBorders>
              <w:bottom w:val="single" w:sz="8" w:color="auto"/>
            </w:tcBorders>
          </w:tcPr>
          <w:p>
            <w:pPr>
              <w:jc w:val="center"/>
              <w:ind w:right="331"/>
              <w:spacing w:after="0"/>
              <w:rPr>
                <w:sz w:val="20"/>
                <w:szCs w:val="20"/>
                <w:color w:val="auto"/>
              </w:rPr>
            </w:pPr>
            <w:r>
              <w:rPr>
                <w:rFonts w:ascii="Times New Roman" w:cs="Times New Roman" w:eastAsia="Times New Roman" w:hAnsi="Times New Roman"/>
                <w:sz w:val="10"/>
                <w:szCs w:val="10"/>
                <w:b w:val="1"/>
                <w:bCs w:val="1"/>
                <w:color w:val="auto"/>
                <w:w w:val="94"/>
              </w:rPr>
              <w:t>Applicable Year</w:t>
            </w:r>
          </w:p>
        </w:tc>
        <w:tc>
          <w:tcPr>
            <w:tcW w:w="15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0"/>
                <w:szCs w:val="10"/>
                <w:b w:val="1"/>
                <w:bCs w:val="1"/>
                <w:color w:val="auto"/>
                <w:w w:val="93"/>
              </w:rPr>
              <w:t>Executive Officer</w:t>
            </w:r>
          </w:p>
        </w:tc>
        <w:tc>
          <w:tcPr>
            <w:tcW w:w="0" w:type="dxa"/>
            <w:vAlign w:val="bottom"/>
          </w:tcPr>
          <w:p>
            <w:pPr>
              <w:spacing w:after="0"/>
              <w:rPr>
                <w:sz w:val="1"/>
                <w:szCs w:val="1"/>
                <w:color w:val="auto"/>
              </w:rPr>
            </w:pPr>
          </w:p>
        </w:tc>
      </w:tr>
      <w:tr>
        <w:trPr>
          <w:trHeight w:val="146"/>
        </w:trPr>
        <w:tc>
          <w:tcPr>
            <w:tcW w:w="50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b w:val="1"/>
                <w:bCs w:val="1"/>
                <w:color w:val="auto"/>
              </w:rPr>
              <w:t>2024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21,096,840</w:t>
            </w:r>
          </w:p>
        </w:tc>
        <w:tc>
          <w:tcPr>
            <w:tcW w:w="2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(17,146,840)</w:t>
            </w:r>
          </w:p>
        </w:tc>
        <w:tc>
          <w:tcPr>
            <w:tcW w:w="300" w:type="dxa"/>
            <w:vAlign w:val="bottom"/>
            <w:shd w:val="clear" w:color="auto" w:fill="CCEEFF"/>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12,766,406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21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2"/>
                <w:szCs w:val="12"/>
                <w:color w:val="auto"/>
              </w:rPr>
              <w:t>— $</w:t>
            </w:r>
          </w:p>
        </w:tc>
        <w:tc>
          <w:tcPr>
            <w:tcW w:w="168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2"/>
                <w:szCs w:val="12"/>
                <w:color w:val="auto"/>
              </w:rPr>
              <w:t>— $</w:t>
            </w:r>
          </w:p>
        </w:tc>
        <w:tc>
          <w:tcPr>
            <w:tcW w:w="15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2"/>
                <w:szCs w:val="12"/>
                <w:color w:val="auto"/>
              </w:rPr>
              <w:t>16,716,406</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660" w:hanging="416"/>
        <w:spacing w:after="0"/>
        <w:tabs>
          <w:tab w:leader="none" w:pos="660" w:val="left"/>
        </w:tabs>
        <w:numPr>
          <w:ilvl w:val="0"/>
          <w:numId w:val="1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RSU grant date fair values are calculated using stock price as of the grant date, as adjusted for a post-vesting holding period. Adjustments have been made using the stock price as of year-end and as of each vesting date.</w:t>
      </w:r>
    </w:p>
    <w:p>
      <w:pPr>
        <w:spacing w:after="0" w:line="65" w:lineRule="exact"/>
        <w:rPr>
          <w:rFonts w:ascii="Times New Roman" w:cs="Times New Roman" w:eastAsia="Times New Roman" w:hAnsi="Times New Roman"/>
          <w:sz w:val="12"/>
          <w:szCs w:val="12"/>
          <w:color w:val="auto"/>
          <w:vertAlign w:val="superscript"/>
        </w:rPr>
      </w:pPr>
    </w:p>
    <w:p>
      <w:pPr>
        <w:ind w:left="660"/>
        <w:spacing w:after="0" w:line="267" w:lineRule="auto"/>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8"/>
          <w:szCs w:val="8"/>
          <w:color w:val="auto"/>
        </w:rPr>
        <w:t>On May 22, 2024, Mr. Dete was granted a time-vesting equity award that will settle in shares of a subsidiary owning the Company's Brazilian operations (“Brazilco”). As this equity award will not be settled in NFE shares, the number of shares of Brazilco underlying the equity award is not comparable to other awards granted to our named executive officers in 2024 and reflects approximately 1.67% of the equity ownership of Brazilco. There is no trading market for the shares of Brazilco and the amounts reflected in the table above for the equity award include assumptions related to BrazilCo eventually becoming a publicly traded entity. There is no assurance that Brazilco will ever be a public company or that a trading market for the shares of Brazilco will ever develop. If such a trading market for the shares does not develop, t shares may be worth significantly less than the value reflected in the table above. The value reflected in the table above also does not include an estimate of the forfeitures should Mr. Dete’s fail to satisfy the remaining vesting requirements which would result in the forfeiture of 7 of his equity award.Mr. Dete was granted an award that will settle in shares of a subsidiary owning the Company's Brazilian operations. Management has determined that the fair value of the award at December 31, 2024 approximates the grant date fair value of this award.</w:t>
      </w:r>
    </w:p>
    <w:p>
      <w:pPr>
        <w:spacing w:after="0" w:line="37" w:lineRule="exact"/>
        <w:rPr>
          <w:rFonts w:ascii="Times New Roman" w:cs="Times New Roman" w:eastAsia="Times New Roman" w:hAnsi="Times New Roman"/>
          <w:sz w:val="12"/>
          <w:szCs w:val="12"/>
          <w:color w:val="auto"/>
          <w:vertAlign w:val="superscript"/>
        </w:rPr>
      </w:pPr>
    </w:p>
    <w:p>
      <w:pPr>
        <w:ind w:left="660" w:right="20" w:hanging="416"/>
        <w:spacing w:after="0" w:line="211" w:lineRule="auto"/>
        <w:tabs>
          <w:tab w:leader="none" w:pos="660" w:val="left"/>
        </w:tabs>
        <w:numPr>
          <w:ilvl w:val="0"/>
          <w:numId w:val="1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iShare Global Clean Energy ETF Index ("ICLN"), Vanguard Energy ETF ("VDE") and Energy Select Sector (SPDR) Fund ("XLE"), as reported in the Company's Annual Report in Form 10-K filed with the SEC on March 10, 2025, were used to calculate the Company's pee group total shareholder returns.</w:t>
      </w:r>
    </w:p>
    <w:p>
      <w:pPr>
        <w:spacing w:after="0" w:line="38" w:lineRule="exact"/>
        <w:rPr>
          <w:rFonts w:ascii="Times New Roman" w:cs="Times New Roman" w:eastAsia="Times New Roman" w:hAnsi="Times New Roman"/>
          <w:sz w:val="12"/>
          <w:szCs w:val="12"/>
          <w:color w:val="auto"/>
          <w:vertAlign w:val="superscript"/>
        </w:rPr>
      </w:pPr>
    </w:p>
    <w:p>
      <w:pPr>
        <w:jc w:val="both"/>
        <w:ind w:left="660" w:hanging="416"/>
        <w:spacing w:after="0" w:line="204" w:lineRule="auto"/>
        <w:tabs>
          <w:tab w:leader="none" w:pos="660" w:val="left"/>
        </w:tabs>
        <w:numPr>
          <w:ilvl w:val="0"/>
          <w:numId w:val="1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We calculate Adjusted EBITDA for the applicable year as net income, plus transaction and integration costs, contract termination charges and loss on mitigation sales, depreciation and amortization, asset impairment expense, loss on asset sales, interest expense, net, other (incom expense, net, loss on extinguishment of debt, changes in fair value of non-hedge derivative instruments and contingent consideration, tax expense, and adjusting for certain items from our SG&amp;A not otherwise indicative of ongoing operating performance, including non-cash shar based compensation and severance expense, non-capitalizable development expenses, cost to pursue new business opportunities, expenses associated with changes to our corporate structure and certain non-capitalizable contract acquisition costs, plus our pro rata share of Adjuste EBITDA from unconsolidated entities, less the impact of equity in earnings (losses) of unconsolidated entities and gains from sales of assets.</w:t>
      </w:r>
    </w:p>
    <w:p>
      <w:pPr>
        <w:spacing w:after="0" w:line="138" w:lineRule="exact"/>
        <w:rPr>
          <w:rFonts w:ascii="Times New Roman" w:cs="Times New Roman" w:eastAsia="Times New Roman" w:hAnsi="Times New Roman"/>
          <w:sz w:val="12"/>
          <w:szCs w:val="12"/>
          <w:color w:val="auto"/>
          <w:vertAlign w:val="superscript"/>
        </w:rPr>
      </w:pPr>
    </w:p>
    <w:p>
      <w:pPr>
        <w:jc w:val="both"/>
        <w:ind w:left="660"/>
        <w:spacing w:after="0" w:line="217" w:lineRule="auto"/>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Adjusted EBITDA is mathematically equivalent to our Total Segment Operating Margin, as reported in the segment disclosures within our financial statements, minus Core SG&amp;A, including our pro rata share of such expenses of unconsolidated entities, minus deferred earnings which a prepayment was received. Core SG&amp;A is defined as total SG&amp;A adjusted for non-cash share-based compensation and severance expenses, non-capitalizable development expenses, cost of exploring new business opportunities and expenses associated with changes to ou corporate structure. Core SG&amp;A excludes certain items from our SG&amp;A not otherwise indicative of ongoing operating performance.</w:t>
      </w:r>
    </w:p>
    <w:p>
      <w:pPr>
        <w:spacing w:after="0" w:line="200" w:lineRule="exact"/>
        <w:rPr>
          <w:sz w:val="20"/>
          <w:szCs w:val="20"/>
          <w:color w:val="auto"/>
        </w:rPr>
      </w:pPr>
    </w:p>
    <w:p>
      <w:pPr>
        <w:spacing w:after="0" w:line="36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60"/>
          </w:cols>
          <w:pgMar w:left="300" w:top="701" w:right="239" w:bottom="1440" w:gutter="0" w:footer="0" w:header="0"/>
          <w:type w:val="continuous"/>
        </w:sectPr>
      </w:pPr>
    </w:p>
    <w:bookmarkStart w:id="29" w:name="page30"/>
    <w:bookmarkEnd w:id="29"/>
    <w:p>
      <w:pPr>
        <w:jc w:val="center"/>
        <w:ind w:right="-299"/>
        <w:spacing w:after="0"/>
        <w:rPr>
          <w:sz w:val="20"/>
          <w:szCs w:val="20"/>
          <w:color w:val="auto"/>
        </w:rPr>
      </w:pPr>
      <w:r>
        <w:rPr>
          <w:rFonts w:ascii="Times New Roman" w:cs="Times New Roman" w:eastAsia="Times New Roman" w:hAnsi="Times New Roman"/>
          <w:sz w:val="12"/>
          <w:szCs w:val="12"/>
          <w:b w:val="1"/>
          <w:bCs w:val="1"/>
          <w:color w:val="auto"/>
        </w:rPr>
        <w:t>Description of the Relationship Between Pay and Performance</w:t>
      </w:r>
    </w:p>
    <w:p>
      <w:pPr>
        <w:spacing w:after="0" w:line="14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graph below sets out the relationship between (x) the average “Compensation Actually Paid” to our non-PEO named executive officers and (y) the Company’s Adjusted EBITDA and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2052320</wp:posOffset>
            </wp:positionH>
            <wp:positionV relativeFrom="paragraph">
              <wp:posOffset>5080</wp:posOffset>
            </wp:positionV>
            <wp:extent cx="3068955" cy="22288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6895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216"/>
        <w:spacing w:after="0" w:line="248" w:lineRule="auto"/>
        <w:rPr>
          <w:sz w:val="20"/>
          <w:szCs w:val="20"/>
          <w:color w:val="auto"/>
        </w:rPr>
      </w:pPr>
      <w:r>
        <w:rPr>
          <w:rFonts w:ascii="Times New Roman" w:cs="Times New Roman" w:eastAsia="Times New Roman" w:hAnsi="Times New Roman"/>
          <w:sz w:val="12"/>
          <w:szCs w:val="12"/>
          <w:color w:val="auto"/>
        </w:rPr>
        <w:t>The graph below sets out the relationship between (x) the Company’s TSR and (y) the peer group TSR, calculated using each of iShared Global Clean Energy ETF Index ("ICLN"), Vanguard Energy ETF ("VDE") and Energy Select Sector (SPDR) Fund ("XLE"):</w:t>
      </w:r>
    </w:p>
    <w:p>
      <w:pPr>
        <w:spacing w:after="0" w:line="200" w:lineRule="exact"/>
        <w:rPr>
          <w:sz w:val="20"/>
          <w:szCs w:val="20"/>
          <w:color w:val="auto"/>
        </w:rPr>
      </w:pPr>
    </w:p>
    <w:p>
      <w:pPr>
        <w:spacing w:after="0" w:line="39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00"/>
          </w:cols>
          <w:pgMar w:left="300" w:top="710" w:right="599" w:bottom="1440" w:gutter="0" w:footer="0" w:header="0"/>
        </w:sectPr>
      </w:pPr>
    </w:p>
    <w:bookmarkStart w:id="30" w:name="page31"/>
    <w:bookmarkEnd w:id="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2242820</wp:posOffset>
            </wp:positionH>
            <wp:positionV relativeFrom="page">
              <wp:posOffset>363220</wp:posOffset>
            </wp:positionV>
            <wp:extent cx="3068955" cy="23317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3068955"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2"/>
          <w:szCs w:val="12"/>
          <w:b w:val="1"/>
          <w:bCs w:val="1"/>
          <w:color w:val="auto"/>
        </w:rPr>
        <w:t>Tabular List of Most Important Performance Measures</w:t>
      </w:r>
    </w:p>
    <w:p>
      <w:pPr>
        <w:spacing w:after="0" w:line="1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Company uses the following financial performance levels to assess the Company's performance:</w:t>
      </w:r>
    </w:p>
    <w:p>
      <w:pPr>
        <w:spacing w:after="0" w:line="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Most 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1028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EBITDA</w:t>
      </w:r>
      <w:r>
        <w:rPr>
          <w:rFonts w:ascii="Times New Roman" w:cs="Times New Roman" w:eastAsia="Times New Roman" w:hAnsi="Times New Roman"/>
          <w:sz w:val="15"/>
          <w:szCs w:val="15"/>
          <w:color w:val="auto"/>
          <w:vertAlign w:val="superscript"/>
        </w:rPr>
        <w:t>(1)</w:t>
      </w:r>
    </w:p>
    <w:p>
      <w:pPr>
        <w:spacing w:after="0"/>
        <w:rPr>
          <w:sz w:val="20"/>
          <w:szCs w:val="20"/>
          <w:color w:val="auto"/>
        </w:rPr>
      </w:pPr>
      <w:r>
        <w:rPr>
          <w:rFonts w:ascii="Times New Roman" w:cs="Times New Roman" w:eastAsia="Times New Roman" w:hAnsi="Times New Roman"/>
          <w:sz w:val="12"/>
          <w:szCs w:val="12"/>
          <w:color w:val="auto"/>
        </w:rPr>
        <w:t>Net Income</w:t>
      </w:r>
    </w:p>
    <w:p>
      <w:pPr>
        <w:spacing w:after="0" w:line="233" w:lineRule="exact"/>
        <w:rPr>
          <w:sz w:val="20"/>
          <w:szCs w:val="20"/>
          <w:color w:val="auto"/>
        </w:rPr>
      </w:pPr>
    </w:p>
    <w:p>
      <w:pPr>
        <w:ind w:left="420" w:hanging="416"/>
        <w:spacing w:after="0" w:line="202" w:lineRule="auto"/>
        <w:tabs>
          <w:tab w:leader="none" w:pos="420" w:val="left"/>
        </w:tabs>
        <w:numPr>
          <w:ilvl w:val="0"/>
          <w:numId w:val="17"/>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Adjusted EBITDA is calculated as net income, plus transaction and integration costs, contract termination charges and loss on mitigation sales, depreciation and amortization, asset impairment expense, loss on asset sales, interest expense, net, other (income) expense, net, loss on extinguishment of debt, changes in fair value of non-hedge derivative instruments and contingent consideration, tax expense, and adjusting for certain items from our selling, general and administrative expenses (“SG&amp;A") not otherwise indicative of ongoing operating performance, including non-cash share-based compensation and severance expenses, non-capitalizable development expenses, cost to pursue new business opportunities, expenses associated with changes to our corporate structure and certain non-capitalizable contract acquisition costs,, plus our pro rata share of Adjusted EBITDA from unconsolidated entities, less the impact of equity in earnings (losses) of unconsolidated entities and gains from sale of assets. Adjusted EBITDA is mathematically equivalent to our Total Segment Operating Margin, as reported in the segment disclosures within our financial statements, minus Core SG&amp;A, including our pro rata share of such expenses of unconsolidated entities, minus deferred earnings for which a prepayment has been received. Core SG&amp;A is defined as total SG&amp;A adjusted for non-cash share-based compensation and severance expense, non-capitalizable development expenses, cost of exploring new business opportunities and expenses associated with changes to our corporate structure. Core SG&amp;A excludes certain items from our SG&amp;A not otherwise indicative of ongoing operating performance.</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1440" w:right="35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2"/>
          <w:szCs w:val="12"/>
          <w:b w:val="1"/>
          <w:bCs w:val="1"/>
          <w:color w:val="auto"/>
        </w:rPr>
        <w:t>DIRECTOR COMPENSATION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We do not compensate our directors who are also our employees or who are otherwise affiliated with us for their service on our Board.</w:t>
      </w:r>
    </w:p>
    <w:p>
      <w:pPr>
        <w:spacing w:after="0" w:line="150" w:lineRule="exact"/>
        <w:rPr>
          <w:sz w:val="20"/>
          <w:szCs w:val="20"/>
          <w:color w:val="auto"/>
        </w:rPr>
      </w:pPr>
    </w:p>
    <w:p>
      <w:pPr>
        <w:ind w:right="220" w:firstLine="216"/>
        <w:spacing w:after="0" w:line="279" w:lineRule="auto"/>
        <w:rPr>
          <w:sz w:val="20"/>
          <w:szCs w:val="20"/>
          <w:color w:val="auto"/>
        </w:rPr>
      </w:pPr>
      <w:r>
        <w:rPr>
          <w:rFonts w:ascii="Times New Roman" w:cs="Times New Roman" w:eastAsia="Times New Roman" w:hAnsi="Times New Roman"/>
          <w:sz w:val="12"/>
          <w:szCs w:val="12"/>
          <w:color w:val="auto"/>
        </w:rPr>
        <w:t>The compensation program for our non-employee directors is designed to achieve three goals: (1) fairly compensate directors for their service to the Company given its size and the complexity of its operations and structure; (2) align the directors’ interests with the long-term interests of our stockholders; and (3) incentivize the directors to continue to serve as board members.</w:t>
      </w:r>
    </w:p>
    <w:p>
      <w:pPr>
        <w:spacing w:after="0" w:line="111" w:lineRule="exact"/>
        <w:rPr>
          <w:sz w:val="20"/>
          <w:szCs w:val="20"/>
          <w:color w:val="auto"/>
        </w:rPr>
      </w:pPr>
    </w:p>
    <w:p>
      <w:pPr>
        <w:ind w:right="320" w:firstLine="216"/>
        <w:spacing w:after="0" w:line="279" w:lineRule="auto"/>
        <w:rPr>
          <w:sz w:val="20"/>
          <w:szCs w:val="20"/>
          <w:color w:val="auto"/>
        </w:rPr>
      </w:pPr>
      <w:r>
        <w:rPr>
          <w:rFonts w:ascii="Times New Roman" w:cs="Times New Roman" w:eastAsia="Times New Roman" w:hAnsi="Times New Roman"/>
          <w:sz w:val="12"/>
          <w:szCs w:val="12"/>
          <w:color w:val="auto"/>
        </w:rPr>
        <w:t>In 2024, non-employee directors received an annual cash retainer equal to $100,000, payable quarterly. Additionally, the chair of the Audit Committee of the Board received an additional $10,000 annual cash retainer, payable quarterly. Mr. Nardone is not compensated by the Company for his service as a director.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 Compensation Table for 2024</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provides additional information on the compensation we paid to our non-employee directors in 2024.</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Fees Earned or Paid in</w:t>
            </w:r>
          </w:p>
        </w:tc>
        <w:tc>
          <w:tcPr>
            <w:tcW w:w="1080" w:type="dxa"/>
            <w:vAlign w:val="bottom"/>
          </w:tcPr>
          <w:p>
            <w:pPr>
              <w:jc w:val="center"/>
              <w:ind w:left="232"/>
              <w:spacing w:after="0"/>
              <w:rPr>
                <w:sz w:val="20"/>
                <w:szCs w:val="20"/>
                <w:color w:val="auto"/>
              </w:rPr>
            </w:pPr>
            <w:r>
              <w:rPr>
                <w:rFonts w:ascii="Times New Roman" w:cs="Times New Roman" w:eastAsia="Times New Roman" w:hAnsi="Times New Roman"/>
                <w:sz w:val="10"/>
                <w:szCs w:val="10"/>
                <w:b w:val="1"/>
                <w:bCs w:val="1"/>
                <w:color w:val="auto"/>
                <w:w w:val="93"/>
              </w:rPr>
              <w:t>Stock Awards</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jc w:val="center"/>
              <w:ind w:left="192"/>
              <w:spacing w:after="0"/>
              <w:rPr>
                <w:sz w:val="20"/>
                <w:szCs w:val="20"/>
                <w:color w:val="auto"/>
              </w:rPr>
            </w:pPr>
            <w:r>
              <w:rPr>
                <w:rFonts w:ascii="Times New Roman" w:cs="Times New Roman" w:eastAsia="Times New Roman" w:hAnsi="Times New Roman"/>
                <w:sz w:val="10"/>
                <w:szCs w:val="10"/>
                <w:b w:val="1"/>
                <w:bCs w:val="1"/>
                <w:color w:val="auto"/>
                <w:w w:val="97"/>
              </w:rPr>
              <w:t>All Other</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jc w:val="right"/>
              <w:ind w:right="523"/>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54"/>
        </w:trPr>
        <w:tc>
          <w:tcPr>
            <w:tcW w:w="54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Cash ($)</w:t>
            </w:r>
          </w:p>
        </w:tc>
        <w:tc>
          <w:tcPr>
            <w:tcW w:w="1080" w:type="dxa"/>
            <w:vAlign w:val="bottom"/>
          </w:tcPr>
          <w:p>
            <w:pPr>
              <w:jc w:val="center"/>
              <w:ind w:right="232"/>
              <w:spacing w:after="0"/>
              <w:rPr>
                <w:sz w:val="20"/>
                <w:szCs w:val="20"/>
                <w:color w:val="auto"/>
              </w:rPr>
            </w:pP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12"/>
                <w:szCs w:val="12"/>
                <w:b w:val="1"/>
                <w:bCs w:val="1"/>
                <w:color w:val="auto"/>
                <w:vertAlign w:val="superscript"/>
              </w:rPr>
              <w:t>(1)</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jc w:val="center"/>
              <w:ind w:left="192"/>
              <w:spacing w:after="0"/>
              <w:rPr>
                <w:sz w:val="20"/>
                <w:szCs w:val="20"/>
                <w:color w:val="auto"/>
              </w:rPr>
            </w:pPr>
            <w:r>
              <w:rPr>
                <w:rFonts w:ascii="Times New Roman" w:cs="Times New Roman" w:eastAsia="Times New Roman" w:hAnsi="Times New Roman"/>
                <w:sz w:val="10"/>
                <w:szCs w:val="10"/>
                <w:b w:val="1"/>
                <w:bCs w:val="1"/>
                <w:color w:val="auto"/>
                <w:w w:val="94"/>
              </w:rPr>
              <w:t>Compensation ($)</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right"/>
              <w:ind w:right="583"/>
              <w:spacing w:after="0"/>
              <w:rPr>
                <w:sz w:val="20"/>
                <w:szCs w:val="20"/>
                <w:color w:val="auto"/>
              </w:rPr>
            </w:pPr>
            <w:r>
              <w:rPr>
                <w:rFonts w:ascii="Times New Roman" w:cs="Times New Roman" w:eastAsia="Times New Roman" w:hAnsi="Times New Roman"/>
                <w:sz w:val="10"/>
                <w:szCs w:val="10"/>
                <w:b w:val="1"/>
                <w:bCs w:val="1"/>
                <w:color w:val="auto"/>
              </w:rPr>
              <w:t>($)</w:t>
            </w:r>
          </w:p>
        </w:tc>
      </w:tr>
      <w:tr>
        <w:trPr>
          <w:trHeight w:val="142"/>
        </w:trPr>
        <w:tc>
          <w:tcPr>
            <w:tcW w:w="5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Randal A. Nardone</w:t>
            </w:r>
          </w:p>
        </w:tc>
        <w:tc>
          <w:tcPr>
            <w:tcW w:w="140" w:type="dxa"/>
            <w:vAlign w:val="bottom"/>
            <w:tcBorders>
              <w:top w:val="single" w:sz="8" w:color="CCEEFF"/>
            </w:tcBorders>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3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Desmond Iain Catterall</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100,000</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4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100,000</w:t>
            </w:r>
          </w:p>
        </w:tc>
      </w:tr>
      <w:tr>
        <w:trPr>
          <w:trHeight w:val="153"/>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David J. Grain</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100,000</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100,000</w:t>
            </w:r>
          </w:p>
        </w:tc>
      </w:tr>
      <w:tr>
        <w:trPr>
          <w:trHeight w:val="153"/>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 William Griffin</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100,000</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4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100,000</w:t>
            </w:r>
          </w:p>
        </w:tc>
      </w:tr>
      <w:tr>
        <w:trPr>
          <w:trHeight w:val="153"/>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John J. Mack</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100,000</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100,000</w:t>
            </w:r>
          </w:p>
        </w:tc>
      </w:tr>
      <w:tr>
        <w:trPr>
          <w:trHeight w:val="153"/>
        </w:trPr>
        <w:tc>
          <w:tcPr>
            <w:tcW w:w="54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Katherine E. Wanner</w:t>
            </w:r>
          </w:p>
        </w:tc>
        <w:tc>
          <w:tcPr>
            <w:tcW w:w="13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110,000</w:t>
            </w: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540" w:type="dxa"/>
            <w:vAlign w:val="bottom"/>
            <w:gridSpan w:val="3"/>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110,000</w:t>
            </w:r>
          </w:p>
        </w:tc>
      </w:tr>
      <w:tr>
        <w:trPr>
          <w:trHeight w:val="153"/>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Timothy W. Jay</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100,000</w:t>
            </w:r>
          </w:p>
        </w:tc>
        <w:tc>
          <w:tcPr>
            <w:tcW w:w="14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5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100,000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6212840</wp:posOffset>
            </wp:positionH>
            <wp:positionV relativeFrom="paragraph">
              <wp:posOffset>-685165</wp:posOffset>
            </wp:positionV>
            <wp:extent cx="914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5258435</wp:posOffset>
            </wp:positionH>
            <wp:positionV relativeFrom="paragraph">
              <wp:posOffset>-685165</wp:posOffset>
            </wp:positionV>
            <wp:extent cx="914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4304030</wp:posOffset>
            </wp:positionH>
            <wp:positionV relativeFrom="paragraph">
              <wp:posOffset>-685165</wp:posOffset>
            </wp:positionV>
            <wp:extent cx="914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-685165</wp:posOffset>
            </wp:positionV>
            <wp:extent cx="914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41" w:lineRule="exact"/>
        <w:rPr>
          <w:sz w:val="20"/>
          <w:szCs w:val="20"/>
          <w:color w:val="auto"/>
        </w:rPr>
      </w:pPr>
    </w:p>
    <w:p>
      <w:pPr>
        <w:ind w:left="100" w:hanging="96"/>
        <w:spacing w:after="0"/>
        <w:tabs>
          <w:tab w:leader="none" w:pos="100" w:val="left"/>
        </w:tabs>
        <w:numPr>
          <w:ilvl w:val="0"/>
          <w:numId w:val="18"/>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As of December 31, 2024, none of our non-employee directors held any unvested equity-based awards.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32" w:name="page33"/>
    <w:bookmarkEnd w:id="32"/>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EQUITY COMPENSATION PLAN INFORMATION</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summarizes certain information about securities authorized for issuance under our equity compensation plans as of December 31, 2024: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6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spacing w:after="0"/>
              <w:rPr>
                <w:sz w:val="10"/>
                <w:szCs w:val="10"/>
                <w:color w:val="auto"/>
              </w:rPr>
            </w:pPr>
          </w:p>
        </w:tc>
      </w:tr>
      <w:tr>
        <w:trPr>
          <w:trHeight w:val="117"/>
        </w:trPr>
        <w:tc>
          <w:tcPr>
            <w:tcW w:w="6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5"/>
              </w:rPr>
              <w:t>Securities</w:t>
            </w:r>
          </w:p>
        </w:tc>
        <w:tc>
          <w:tcPr>
            <w:tcW w:w="1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Number of Securities</w:t>
            </w:r>
          </w:p>
        </w:tc>
      </w:tr>
      <w:tr>
        <w:trPr>
          <w:trHeight w:val="108"/>
        </w:trPr>
        <w:tc>
          <w:tcPr>
            <w:tcW w:w="6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0"/>
                <w:szCs w:val="10"/>
                <w:b w:val="1"/>
                <w:bCs w:val="1"/>
                <w:color w:val="auto"/>
                <w:w w:val="94"/>
              </w:rPr>
              <w:t>to be Issued Upon</w:t>
            </w:r>
          </w:p>
        </w:tc>
        <w:tc>
          <w:tcPr>
            <w:tcW w:w="1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Remaining Available</w:t>
            </w:r>
          </w:p>
        </w:tc>
      </w:tr>
      <w:tr>
        <w:trPr>
          <w:trHeight w:val="117"/>
        </w:trPr>
        <w:tc>
          <w:tcPr>
            <w:tcW w:w="6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3"/>
              </w:rPr>
              <w:t>Exercise of</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4"/>
              </w:rPr>
              <w:t>Weighted-Average</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for Future Issuance</w:t>
            </w:r>
          </w:p>
        </w:tc>
      </w:tr>
      <w:tr>
        <w:trPr>
          <w:trHeight w:val="117"/>
        </w:trPr>
        <w:tc>
          <w:tcPr>
            <w:tcW w:w="6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7"/>
              </w:rPr>
              <w:t>Outstanding</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4"/>
              </w:rPr>
              <w:t>Exercise Price of</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Under Equity</w:t>
            </w:r>
          </w:p>
        </w:tc>
      </w:tr>
      <w:tr>
        <w:trPr>
          <w:trHeight w:val="108"/>
        </w:trPr>
        <w:tc>
          <w:tcPr>
            <w:tcW w:w="67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0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0"/>
                <w:szCs w:val="10"/>
                <w:b w:val="1"/>
                <w:bCs w:val="1"/>
                <w:color w:val="auto"/>
                <w:w w:val="98"/>
              </w:rPr>
              <w:t>Options,</w:t>
            </w:r>
          </w:p>
        </w:tc>
        <w:tc>
          <w:tcPr>
            <w:tcW w:w="1500" w:type="dxa"/>
            <w:vAlign w:val="bottom"/>
            <w:gridSpan w:val="2"/>
          </w:tcPr>
          <w:p>
            <w:pPr>
              <w:jc w:val="center"/>
              <w:ind w:right="140"/>
              <w:spacing w:after="0" w:line="108" w:lineRule="exact"/>
              <w:rPr>
                <w:sz w:val="20"/>
                <w:szCs w:val="20"/>
                <w:color w:val="auto"/>
              </w:rPr>
            </w:pPr>
            <w:r>
              <w:rPr>
                <w:rFonts w:ascii="Times New Roman" w:cs="Times New Roman" w:eastAsia="Times New Roman" w:hAnsi="Times New Roman"/>
                <w:sz w:val="10"/>
                <w:szCs w:val="10"/>
                <w:b w:val="1"/>
                <w:bCs w:val="1"/>
                <w:color w:val="auto"/>
                <w:w w:val="97"/>
              </w:rPr>
              <w:t>Outstanding</w:t>
            </w:r>
          </w:p>
        </w:tc>
        <w:tc>
          <w:tcPr>
            <w:tcW w:w="1380" w:type="dxa"/>
            <w:vAlign w:val="bottom"/>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Compensation Plans</w:t>
            </w:r>
          </w:p>
        </w:tc>
      </w:tr>
      <w:tr>
        <w:trPr>
          <w:trHeight w:val="117"/>
        </w:trPr>
        <w:tc>
          <w:tcPr>
            <w:tcW w:w="6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2"/>
              </w:rPr>
              <w:t>Warrants and</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4"/>
              </w:rPr>
              <w:t>Options, Warrants</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(Excluding Securities</w:t>
            </w:r>
          </w:p>
        </w:tc>
      </w:tr>
      <w:tr>
        <w:trPr>
          <w:trHeight w:val="117"/>
        </w:trPr>
        <w:tc>
          <w:tcPr>
            <w:tcW w:w="6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Rights</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4"/>
              </w:rPr>
              <w:t>and Rights</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Reflected in Column</w:t>
            </w:r>
          </w:p>
        </w:tc>
      </w:tr>
      <w:tr>
        <w:trPr>
          <w:trHeight w:val="143"/>
        </w:trPr>
        <w:tc>
          <w:tcPr>
            <w:tcW w:w="692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Plan Category</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rPr>
              <w:t>(a)</w:t>
            </w:r>
            <w:r>
              <w:rPr>
                <w:rFonts w:ascii="Times New Roman" w:cs="Times New Roman" w:eastAsia="Times New Roman" w:hAnsi="Times New Roman"/>
                <w:sz w:val="6"/>
                <w:szCs w:val="6"/>
                <w:b w:val="1"/>
                <w:bCs w:val="1"/>
                <w:color w:val="auto"/>
              </w:rPr>
              <w:t>(1)</w:t>
            </w: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7"/>
              </w:rPr>
              <w:t>(b)</w:t>
            </w:r>
          </w:p>
        </w:tc>
        <w:tc>
          <w:tcPr>
            <w:tcW w:w="13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(a) (c)</w:t>
            </w:r>
          </w:p>
        </w:tc>
      </w:tr>
      <w:tr>
        <w:trPr>
          <w:trHeight w:val="150"/>
        </w:trPr>
        <w:tc>
          <w:tcPr>
            <w:tcW w:w="6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Equity compensation plans approved by security holders:</w:t>
            </w:r>
          </w:p>
        </w:tc>
        <w:tc>
          <w:tcPr>
            <w:tcW w:w="14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r>
      <w:tr>
        <w:trPr>
          <w:trHeight w:val="153"/>
        </w:trPr>
        <w:tc>
          <w:tcPr>
            <w:tcW w:w="6920" w:type="dxa"/>
            <w:vAlign w:val="bottom"/>
            <w:gridSpan w:val="2"/>
            <w:shd w:val="clear" w:color="auto" w:fill="CCEEFF"/>
          </w:tcPr>
          <w:p>
            <w:pPr>
              <w:ind w:left="120"/>
              <w:spacing w:after="0" w:line="153" w:lineRule="exact"/>
              <w:rPr>
                <w:sz w:val="20"/>
                <w:szCs w:val="20"/>
                <w:color w:val="auto"/>
              </w:rPr>
            </w:pPr>
            <w:r>
              <w:rPr>
                <w:rFonts w:ascii="Times New Roman" w:cs="Times New Roman" w:eastAsia="Times New Roman" w:hAnsi="Times New Roman"/>
                <w:sz w:val="12"/>
                <w:szCs w:val="12"/>
                <w:color w:val="auto"/>
              </w:rPr>
              <w:t>New Fortress Energy Inc. 2019 Omnibus Incentive Plan</w:t>
            </w:r>
            <w:r>
              <w:rPr>
                <w:rFonts w:ascii="Times New Roman" w:cs="Times New Roman" w:eastAsia="Times New Roman" w:hAnsi="Times New Roman"/>
                <w:sz w:val="15"/>
                <w:szCs w:val="15"/>
                <w:color w:val="auto"/>
                <w:vertAlign w:val="superscript"/>
              </w:rPr>
              <w:t>(2)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1,579,802</w:t>
            </w:r>
          </w:p>
        </w:tc>
        <w:tc>
          <w:tcPr>
            <w:tcW w:w="14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2"/>
                <w:szCs w:val="12"/>
                <w:color w:val="auto"/>
              </w:rPr>
              <w:t>19,604,183</w:t>
            </w:r>
          </w:p>
        </w:tc>
      </w:tr>
      <w:tr>
        <w:trPr>
          <w:trHeight w:val="153"/>
        </w:trPr>
        <w:tc>
          <w:tcPr>
            <w:tcW w:w="69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Equity compensation plans not approved by security holders:</w:t>
            </w: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53"/>
        </w:trPr>
        <w:tc>
          <w:tcPr>
            <w:tcW w:w="6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2"/>
                <w:szCs w:val="12"/>
                <w:color w:val="auto"/>
              </w:rPr>
              <w:t>—</w:t>
            </w:r>
          </w:p>
        </w:tc>
      </w:tr>
      <w:tr>
        <w:trPr>
          <w:trHeight w:val="142"/>
        </w:trPr>
        <w:tc>
          <w:tcPr>
            <w:tcW w:w="69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1,579,802</w:t>
            </w:r>
          </w:p>
        </w:tc>
        <w:tc>
          <w:tcPr>
            <w:tcW w:w="140" w:type="dxa"/>
            <w:vAlign w:val="bottom"/>
          </w:tcPr>
          <w:p>
            <w:pPr>
              <w:spacing w:after="0"/>
              <w:rPr>
                <w:sz w:val="12"/>
                <w:szCs w:val="12"/>
                <w:color w:val="auto"/>
              </w:rPr>
            </w:pPr>
          </w:p>
        </w:tc>
        <w:tc>
          <w:tcPr>
            <w:tcW w:w="136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2"/>
                <w:szCs w:val="12"/>
                <w:color w:val="auto"/>
              </w:rPr>
            </w:pPr>
          </w:p>
        </w:tc>
        <w:tc>
          <w:tcPr>
            <w:tcW w:w="13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2"/>
                <w:szCs w:val="12"/>
                <w:color w:val="auto"/>
              </w:rPr>
              <w:t>19,604,183</w:t>
            </w:r>
          </w:p>
        </w:tc>
      </w:tr>
    </w:tbl>
    <w:p>
      <w:pPr>
        <w:spacing w:after="0" w:line="214" w:lineRule="exact"/>
        <w:rPr>
          <w:sz w:val="20"/>
          <w:szCs w:val="20"/>
          <w:color w:val="auto"/>
        </w:rPr>
      </w:pPr>
    </w:p>
    <w:p>
      <w:pPr>
        <w:ind w:left="420" w:hanging="253"/>
        <w:spacing w:after="0"/>
        <w:tabs>
          <w:tab w:leader="none" w:pos="420" w:val="left"/>
        </w:tabs>
        <w:numPr>
          <w:ilvl w:val="0"/>
          <w:numId w:val="1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Represents shares subject to outstanding equity awards under the Incentive Plan for which shares had not yet been delivered as of December 31, 2024.</w:t>
      </w:r>
    </w:p>
    <w:p>
      <w:pPr>
        <w:spacing w:after="0" w:line="101" w:lineRule="exact"/>
        <w:rPr>
          <w:rFonts w:ascii="Times New Roman" w:cs="Times New Roman" w:eastAsia="Times New Roman" w:hAnsi="Times New Roman"/>
          <w:sz w:val="12"/>
          <w:szCs w:val="12"/>
          <w:color w:val="auto"/>
          <w:vertAlign w:val="superscript"/>
        </w:rPr>
      </w:pPr>
    </w:p>
    <w:p>
      <w:pPr>
        <w:ind w:left="420" w:right="20" w:hanging="253"/>
        <w:spacing w:after="0" w:line="233" w:lineRule="auto"/>
        <w:tabs>
          <w:tab w:leader="none" w:pos="420" w:val="left"/>
        </w:tabs>
        <w:numPr>
          <w:ilvl w:val="0"/>
          <w:numId w:val="19"/>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The Incentive Plan provides that 16,705,882 shares of Class A Common Stock are reserved and available for issuance under the Plan, as increased on the first day of each fiscal year beginning in calendar year 2020 by a number of shares of Class A Common Stock equal to the excess of 10% of the aggregate number of outstanding shares of Class A Common Stock and Class B common stock on the last day of the immediately preceding fiscal year, over the number of shares of Class A Common Stock reserved and available for issuance under the Incentive Plan as of the last day of the immediately preceding fiscal year. The shares of Class A Common Stock reserved and available for issuance under the Incentive Plan did not increase on the first day of 2024.</w:t>
      </w:r>
    </w:p>
    <w:p>
      <w:pPr>
        <w:spacing w:after="0" w:line="200" w:lineRule="exact"/>
        <w:rPr>
          <w:sz w:val="20"/>
          <w:szCs w:val="20"/>
          <w:color w:val="auto"/>
        </w:rPr>
      </w:pPr>
    </w:p>
    <w:p>
      <w:pPr>
        <w:spacing w:after="0" w:line="3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33" w:name="page34"/>
    <w:bookmarkEnd w:id="33"/>
    <w:p>
      <w:pPr>
        <w:ind w:left="3280"/>
        <w:spacing w:after="0"/>
        <w:rPr>
          <w:sz w:val="20"/>
          <w:szCs w:val="20"/>
          <w:color w:val="auto"/>
        </w:rPr>
      </w:pPr>
      <w:r>
        <w:rPr>
          <w:rFonts w:ascii="Times New Roman" w:cs="Times New Roman" w:eastAsia="Times New Roman" w:hAnsi="Times New Roman"/>
          <w:sz w:val="12"/>
          <w:szCs w:val="12"/>
          <w:b w:val="1"/>
          <w:bCs w:val="1"/>
          <w:color w:val="auto"/>
        </w:rPr>
        <w:t>SECURITY OWNERSHIP OF MANAGEMENT AND CERTAIN BENEFICIAL OWNERS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Security Ownership of Certain Beneficial Owners and Management and Related Stockholder Matters.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following table sets forth the beneficial ownership of our shares of Common Stock issued and outstanding as of April 28, 2025 by:</w:t>
      </w:r>
    </w:p>
    <w:p>
      <w:pPr>
        <w:spacing w:after="0" w:line="150" w:lineRule="exact"/>
        <w:rPr>
          <w:sz w:val="20"/>
          <w:szCs w:val="20"/>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person known to us to beneficially own more than 5% of our Common Stock;</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director and named executive officer;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our directors and executive officers as a group.</w:t>
      </w:r>
    </w:p>
    <w:p>
      <w:pPr>
        <w:spacing w:after="0" w:line="150" w:lineRule="exact"/>
        <w:rPr>
          <w:sz w:val="20"/>
          <w:szCs w:val="20"/>
          <w:color w:val="auto"/>
        </w:rPr>
      </w:pPr>
    </w:p>
    <w:p>
      <w:pPr>
        <w:ind w:firstLine="216"/>
        <w:spacing w:after="0" w:line="265" w:lineRule="auto"/>
        <w:rPr>
          <w:sz w:val="20"/>
          <w:szCs w:val="20"/>
          <w:color w:val="auto"/>
        </w:rPr>
      </w:pPr>
      <w:r>
        <w:rPr>
          <w:rFonts w:ascii="Times New Roman" w:cs="Times New Roman" w:eastAsia="Times New Roman" w:hAnsi="Times New Roman"/>
          <w:sz w:val="12"/>
          <w:szCs w:val="12"/>
          <w:color w:val="auto"/>
        </w:rPr>
        <w:t>Unless otherwise noted, the address for each beneficial owner listed below is 111 W. 19th Street, 8th Floor, New York, New York 10011. As of April 28, 2025, we had 274,180,463 shares of Common Stock outstanding and the holder of our Series B Preferred Stock is entitled to vote on an as-converted basis, and as of April 28, 2025, the holder of the Series B Preferred Stock could have converted the Series B Preferred Stock into 4,103,841 shares of Common Stock.</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260" w:type="dxa"/>
            <w:vAlign w:val="bottom"/>
          </w:tcPr>
          <w:p>
            <w:pPr>
              <w:spacing w:after="0"/>
              <w:rPr>
                <w:sz w:val="10"/>
                <w:szCs w:val="10"/>
                <w:color w:val="auto"/>
              </w:rPr>
            </w:pPr>
          </w:p>
        </w:tc>
        <w:tc>
          <w:tcPr>
            <w:tcW w:w="7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20" w:type="dxa"/>
            <w:vAlign w:val="bottom"/>
            <w:gridSpan w:val="3"/>
          </w:tcPr>
          <w:p>
            <w:pPr>
              <w:ind w:left="1240"/>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816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 of Beneficial Owner</w:t>
            </w:r>
          </w:p>
        </w:tc>
        <w:tc>
          <w:tcPr>
            <w:tcW w:w="1920" w:type="dxa"/>
            <w:vAlign w:val="bottom"/>
            <w:gridSpan w:val="3"/>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w w:val="95"/>
              </w:rPr>
              <w:t>Number of Shares Beneficially</w:t>
            </w:r>
          </w:p>
        </w:tc>
        <w:tc>
          <w:tcPr>
            <w:tcW w:w="1220" w:type="dxa"/>
            <w:vAlign w:val="bottom"/>
            <w:vMerge w:val="restart"/>
          </w:tcPr>
          <w:p>
            <w:pPr>
              <w:jc w:val="right"/>
              <w:ind w:right="321"/>
              <w:spacing w:after="0"/>
              <w:rPr>
                <w:sz w:val="20"/>
                <w:szCs w:val="20"/>
                <w:color w:val="auto"/>
              </w:rPr>
            </w:pPr>
            <w:r>
              <w:rPr>
                <w:rFonts w:ascii="Times New Roman" w:cs="Times New Roman" w:eastAsia="Times New Roman" w:hAnsi="Times New Roman"/>
                <w:sz w:val="10"/>
                <w:szCs w:val="10"/>
                <w:b w:val="1"/>
                <w:bCs w:val="1"/>
                <w:color w:val="auto"/>
                <w:w w:val="98"/>
              </w:rPr>
              <w:t>Percentage of Class</w:t>
            </w:r>
          </w:p>
        </w:tc>
        <w:tc>
          <w:tcPr>
            <w:tcW w:w="0" w:type="dxa"/>
            <w:vAlign w:val="bottom"/>
          </w:tcPr>
          <w:p>
            <w:pPr>
              <w:spacing w:after="0"/>
              <w:rPr>
                <w:sz w:val="1"/>
                <w:szCs w:val="1"/>
                <w:color w:val="auto"/>
              </w:rPr>
            </w:pPr>
          </w:p>
        </w:tc>
      </w:tr>
      <w:tr>
        <w:trPr>
          <w:trHeight w:val="144"/>
        </w:trPr>
        <w:tc>
          <w:tcPr>
            <w:tcW w:w="8160" w:type="dxa"/>
            <w:vAlign w:val="bottom"/>
            <w:gridSpan w:val="3"/>
            <w:vMerge w:val="continue"/>
          </w:tcPr>
          <w:p>
            <w:pPr>
              <w:spacing w:after="0"/>
              <w:rPr>
                <w:sz w:val="12"/>
                <w:szCs w:val="12"/>
                <w:color w:val="auto"/>
              </w:rPr>
            </w:pPr>
          </w:p>
        </w:tc>
        <w:tc>
          <w:tcPr>
            <w:tcW w:w="1920" w:type="dxa"/>
            <w:vAlign w:val="bottom"/>
            <w:gridSpan w:val="3"/>
          </w:tcPr>
          <w:p>
            <w:pPr>
              <w:jc w:val="center"/>
              <w:ind w:right="480"/>
              <w:spacing w:after="0"/>
              <w:rPr>
                <w:sz w:val="20"/>
                <w:szCs w:val="20"/>
                <w:color w:val="auto"/>
              </w:rPr>
            </w:pPr>
            <w:r>
              <w:rPr>
                <w:rFonts w:ascii="Times New Roman" w:cs="Times New Roman" w:eastAsia="Times New Roman" w:hAnsi="Times New Roman"/>
                <w:sz w:val="10"/>
                <w:szCs w:val="10"/>
                <w:b w:val="1"/>
                <w:bCs w:val="1"/>
                <w:color w:val="auto"/>
                <w:w w:val="90"/>
              </w:rPr>
              <w:t>Owned</w:t>
            </w:r>
            <w:r>
              <w:rPr>
                <w:rFonts w:ascii="Times New Roman" w:cs="Times New Roman" w:eastAsia="Times New Roman" w:hAnsi="Times New Roman"/>
                <w:sz w:val="12"/>
                <w:szCs w:val="12"/>
                <w:b w:val="1"/>
                <w:bCs w:val="1"/>
                <w:color w:val="auto"/>
                <w:w w:val="90"/>
                <w:vertAlign w:val="superscript"/>
              </w:rPr>
              <w:t>(1)</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0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Greater Than 5% Shareholders:</w:t>
            </w:r>
          </w:p>
        </w:tc>
        <w:tc>
          <w:tcPr>
            <w:tcW w:w="14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7"/>
        </w:trPr>
        <w:tc>
          <w:tcPr>
            <w:tcW w:w="8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Great Mountain Partners LLC</w:t>
            </w:r>
            <w:r>
              <w:rPr>
                <w:rFonts w:ascii="Times New Roman" w:cs="Times New Roman" w:eastAsia="Times New Roman" w:hAnsi="Times New Roman"/>
                <w:sz w:val="15"/>
                <w:szCs w:val="15"/>
                <w:color w:val="auto"/>
                <w:vertAlign w:val="superscript"/>
              </w:rPr>
              <w:t>(2)</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25,559,846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9.3 %</w:t>
            </w:r>
          </w:p>
        </w:tc>
        <w:tc>
          <w:tcPr>
            <w:tcW w:w="0" w:type="dxa"/>
            <w:vAlign w:val="bottom"/>
          </w:tcPr>
          <w:p>
            <w:pPr>
              <w:spacing w:after="0"/>
              <w:rPr>
                <w:sz w:val="1"/>
                <w:szCs w:val="1"/>
                <w:color w:val="auto"/>
              </w:rPr>
            </w:pPr>
          </w:p>
        </w:tc>
      </w:tr>
      <w:tr>
        <w:trPr>
          <w:trHeight w:val="207"/>
        </w:trPr>
        <w:tc>
          <w:tcPr>
            <w:tcW w:w="8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Edens Family Holdings LLC</w:t>
            </w:r>
            <w:r>
              <w:rPr>
                <w:rFonts w:ascii="Times New Roman" w:cs="Times New Roman" w:eastAsia="Times New Roman" w:hAnsi="Times New Roman"/>
                <w:sz w:val="15"/>
                <w:szCs w:val="15"/>
                <w:color w:val="auto"/>
                <w:vertAlign w:val="superscript"/>
              </w:rPr>
              <w:t>(3)</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25,086,851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9.1 %</w:t>
            </w:r>
          </w:p>
        </w:tc>
        <w:tc>
          <w:tcPr>
            <w:tcW w:w="0" w:type="dxa"/>
            <w:vAlign w:val="bottom"/>
          </w:tcPr>
          <w:p>
            <w:pPr>
              <w:spacing w:after="0"/>
              <w:rPr>
                <w:sz w:val="1"/>
                <w:szCs w:val="1"/>
                <w:color w:val="auto"/>
              </w:rPr>
            </w:pPr>
          </w:p>
        </w:tc>
      </w:tr>
      <w:tr>
        <w:trPr>
          <w:trHeight w:val="207"/>
        </w:trPr>
        <w:tc>
          <w:tcPr>
            <w:tcW w:w="8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Capital World Investors</w:t>
            </w:r>
            <w:r>
              <w:rPr>
                <w:rFonts w:ascii="Times New Roman" w:cs="Times New Roman" w:eastAsia="Times New Roman" w:hAnsi="Times New Roman"/>
                <w:sz w:val="15"/>
                <w:szCs w:val="15"/>
                <w:color w:val="auto"/>
                <w:vertAlign w:val="superscript"/>
              </w:rPr>
              <w:t>(4)</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20,093,295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7.3 %</w:t>
            </w:r>
          </w:p>
        </w:tc>
        <w:tc>
          <w:tcPr>
            <w:tcW w:w="0" w:type="dxa"/>
            <w:vAlign w:val="bottom"/>
          </w:tcPr>
          <w:p>
            <w:pPr>
              <w:spacing w:after="0"/>
              <w:rPr>
                <w:sz w:val="1"/>
                <w:szCs w:val="1"/>
                <w:color w:val="auto"/>
              </w:rPr>
            </w:pPr>
          </w:p>
        </w:tc>
      </w:tr>
      <w:tr>
        <w:trPr>
          <w:trHeight w:val="153"/>
        </w:trPr>
        <w:tc>
          <w:tcPr>
            <w:tcW w:w="8160" w:type="dxa"/>
            <w:vAlign w:val="bottom"/>
            <w:gridSpan w:val="3"/>
            <w:shd w:val="clear" w:color="auto" w:fill="CCEEFF"/>
          </w:tcPr>
          <w:p>
            <w:pPr>
              <w:spacing w:after="0" w:line="153" w:lineRule="exact"/>
              <w:rPr>
                <w:sz w:val="20"/>
                <w:szCs w:val="20"/>
                <w:color w:val="auto"/>
              </w:rPr>
            </w:pPr>
            <w:r>
              <w:rPr>
                <w:rFonts w:ascii="Times New Roman" w:cs="Times New Roman" w:eastAsia="Times New Roman" w:hAnsi="Times New Roman"/>
                <w:sz w:val="12"/>
                <w:szCs w:val="12"/>
                <w:color w:val="auto"/>
              </w:rPr>
              <w:t>Rubric Capital Management LP</w:t>
            </w:r>
            <w:r>
              <w:rPr>
                <w:rFonts w:ascii="Times New Roman" w:cs="Times New Roman" w:eastAsia="Times New Roman" w:hAnsi="Times New Roman"/>
                <w:sz w:val="15"/>
                <w:szCs w:val="15"/>
                <w:color w:val="auto"/>
                <w:vertAlign w:val="superscript"/>
              </w:rPr>
              <w:t>(5)</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15,000,000</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5.5 %</w:t>
            </w:r>
          </w:p>
        </w:tc>
        <w:tc>
          <w:tcPr>
            <w:tcW w:w="0" w:type="dxa"/>
            <w:vAlign w:val="bottom"/>
          </w:tcPr>
          <w:p>
            <w:pPr>
              <w:spacing w:after="0"/>
              <w:rPr>
                <w:sz w:val="1"/>
                <w:szCs w:val="1"/>
                <w:color w:val="auto"/>
              </w:rPr>
            </w:pPr>
          </w:p>
        </w:tc>
      </w:tr>
      <w:tr>
        <w:trPr>
          <w:trHeight w:val="153"/>
        </w:trPr>
        <w:tc>
          <w:tcPr>
            <w:tcW w:w="81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Directors and Named Executive Officers:</w:t>
            </w:r>
          </w:p>
        </w:tc>
        <w:tc>
          <w:tcPr>
            <w:tcW w:w="1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8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Wesley R. Edens</w:t>
            </w:r>
            <w:r>
              <w:rPr>
                <w:rFonts w:ascii="Times New Roman" w:cs="Times New Roman" w:eastAsia="Times New Roman" w:hAnsi="Times New Roman"/>
                <w:sz w:val="15"/>
                <w:szCs w:val="15"/>
                <w:color w:val="auto"/>
                <w:vertAlign w:val="superscript"/>
              </w:rPr>
              <w:t>(6)</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53,634,666</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19.6 %</w:t>
            </w:r>
          </w:p>
        </w:tc>
        <w:tc>
          <w:tcPr>
            <w:tcW w:w="0" w:type="dxa"/>
            <w:vAlign w:val="bottom"/>
          </w:tcPr>
          <w:p>
            <w:pPr>
              <w:spacing w:after="0"/>
              <w:rPr>
                <w:sz w:val="1"/>
                <w:szCs w:val="1"/>
                <w:color w:val="auto"/>
              </w:rPr>
            </w:pPr>
          </w:p>
        </w:tc>
      </w:tr>
      <w:tr>
        <w:trPr>
          <w:trHeight w:val="153"/>
        </w:trPr>
        <w:tc>
          <w:tcPr>
            <w:tcW w:w="8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Christopher S. Guinta</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206,653</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Yunyoung Shin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47,660</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gridSpan w:val="3"/>
          </w:tcPr>
          <w:p>
            <w:pPr>
              <w:spacing w:after="0" w:line="153" w:lineRule="exact"/>
              <w:rPr>
                <w:sz w:val="20"/>
                <w:szCs w:val="20"/>
                <w:color w:val="auto"/>
              </w:rPr>
            </w:pPr>
            <w:r>
              <w:rPr>
                <w:rFonts w:ascii="Times New Roman" w:cs="Times New Roman" w:eastAsia="Times New Roman" w:hAnsi="Times New Roman"/>
                <w:sz w:val="11"/>
                <w:szCs w:val="11"/>
                <w:color w:val="auto"/>
              </w:rPr>
              <w:t>Randal A. Nardone</w:t>
            </w:r>
            <w:r>
              <w:rPr>
                <w:rFonts w:ascii="Times New Roman" w:cs="Times New Roman" w:eastAsia="Times New Roman" w:hAnsi="Times New Roman"/>
                <w:sz w:val="17"/>
                <w:szCs w:val="17"/>
                <w:color w:val="auto"/>
                <w:vertAlign w:val="superscript"/>
              </w:rPr>
              <w:t>(7)</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26,196,526</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9.6 %</w:t>
            </w:r>
          </w:p>
        </w:tc>
        <w:tc>
          <w:tcPr>
            <w:tcW w:w="0" w:type="dxa"/>
            <w:vAlign w:val="bottom"/>
          </w:tcPr>
          <w:p>
            <w:pPr>
              <w:spacing w:after="0"/>
              <w:rPr>
                <w:sz w:val="1"/>
                <w:szCs w:val="1"/>
                <w:color w:val="auto"/>
              </w:rPr>
            </w:pPr>
          </w:p>
        </w:tc>
      </w:tr>
      <w:tr>
        <w:trPr>
          <w:trHeight w:val="153"/>
        </w:trPr>
        <w:tc>
          <w:tcPr>
            <w:tcW w:w="8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Desmond Iain Catterall</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73,000</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David J. Grain</w:t>
            </w:r>
          </w:p>
        </w:tc>
        <w:tc>
          <w:tcPr>
            <w:tcW w:w="1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114,294</w:t>
            </w: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 William Griffin</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344,805</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Charles M. Sledge</w:t>
            </w:r>
          </w:p>
        </w:tc>
        <w:tc>
          <w:tcPr>
            <w:tcW w:w="1920" w:type="dxa"/>
            <w:vAlign w:val="bottom"/>
            <w:gridSpan w:val="3"/>
          </w:tcPr>
          <w:p>
            <w:pPr>
              <w:jc w:val="right"/>
              <w:ind w:right="520"/>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Katherine E. Wanner</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82,599</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816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2"/>
                <w:szCs w:val="12"/>
                <w:color w:val="auto"/>
              </w:rPr>
              <w:t>Timothy W. Jay</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42,551</w:t>
            </w:r>
          </w:p>
        </w:tc>
        <w:tc>
          <w:tcPr>
            <w:tcW w:w="14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816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All executive officers and directors as a group (11 persons)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80,742,754</w:t>
            </w:r>
          </w:p>
        </w:tc>
        <w:tc>
          <w:tcPr>
            <w:tcW w:w="14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29.4 %</w:t>
            </w:r>
          </w:p>
        </w:tc>
        <w:tc>
          <w:tcPr>
            <w:tcW w:w="0" w:type="dxa"/>
            <w:vAlign w:val="bottom"/>
          </w:tcPr>
          <w:p>
            <w:pPr>
              <w:spacing w:after="0"/>
              <w:rPr>
                <w:sz w:val="1"/>
                <w:szCs w:val="1"/>
                <w:color w:val="auto"/>
              </w:rPr>
            </w:pPr>
          </w:p>
        </w:tc>
      </w:tr>
      <w:tr>
        <w:trPr>
          <w:trHeight w:val="195"/>
        </w:trPr>
        <w:tc>
          <w:tcPr>
            <w:tcW w:w="26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7900" w:type="dxa"/>
            <w:vAlign w:val="bottom"/>
            <w:gridSpan w:val="2"/>
          </w:tcPr>
          <w:p>
            <w:pPr>
              <w:ind w:left="160"/>
              <w:spacing w:after="0"/>
              <w:rPr>
                <w:sz w:val="20"/>
                <w:szCs w:val="20"/>
                <w:color w:val="auto"/>
              </w:rPr>
            </w:pPr>
            <w:r>
              <w:rPr>
                <w:rFonts w:ascii="Times New Roman" w:cs="Times New Roman" w:eastAsia="Times New Roman" w:hAnsi="Times New Roman"/>
                <w:sz w:val="10"/>
                <w:szCs w:val="10"/>
                <w:color w:val="auto"/>
              </w:rPr>
              <w:t>Less than 1.0%.</w:t>
            </w: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260" w:type="dxa"/>
            <w:vAlign w:val="bottom"/>
          </w:tcPr>
          <w:p>
            <w:pPr>
              <w:spacing w:after="0"/>
              <w:rPr>
                <w:sz w:val="20"/>
                <w:szCs w:val="20"/>
                <w:color w:val="auto"/>
              </w:rPr>
            </w:pPr>
            <w:r>
              <w:rPr>
                <w:rFonts w:ascii="Times New Roman" w:cs="Times New Roman" w:eastAsia="Times New Roman" w:hAnsi="Times New Roman"/>
                <w:sz w:val="6"/>
                <w:szCs w:val="6"/>
                <w:color w:val="auto"/>
              </w:rPr>
              <w:t>(1)</w:t>
            </w:r>
          </w:p>
        </w:tc>
        <w:tc>
          <w:tcPr>
            <w:tcW w:w="7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0"/>
                <w:szCs w:val="10"/>
                <w:color w:val="auto"/>
                <w:w w:val="97"/>
              </w:rPr>
              <w:t>Shares beneficially owned includes all outstanding stock options or restricted stock units exercisable for or convertible into our common stock either currently or within 60 days after April 28, 2025</w:t>
            </w:r>
            <w:r>
              <w:rPr>
                <w:rFonts w:ascii="Times New Roman" w:cs="Times New Roman" w:eastAsia="Times New Roman" w:hAnsi="Times New Roman"/>
                <w:sz w:val="14"/>
                <w:szCs w:val="14"/>
                <w:color w:val="auto"/>
                <w:w w:val="97"/>
              </w:rPr>
              <w:t>.</w:t>
            </w:r>
          </w:p>
        </w:tc>
        <w:tc>
          <w:tcPr>
            <w:tcW w:w="1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60" w:type="dxa"/>
            <w:vAlign w:val="bottom"/>
          </w:tcPr>
          <w:p>
            <w:pPr>
              <w:spacing w:after="0"/>
              <w:rPr>
                <w:sz w:val="9"/>
                <w:szCs w:val="9"/>
                <w:color w:val="auto"/>
              </w:rPr>
            </w:pPr>
          </w:p>
        </w:tc>
        <w:tc>
          <w:tcPr>
            <w:tcW w:w="7900" w:type="dxa"/>
            <w:vAlign w:val="bottom"/>
            <w:gridSpan w:val="2"/>
            <w:vMerge w:val="continue"/>
          </w:tcPr>
          <w:p>
            <w:pPr>
              <w:spacing w:after="0"/>
              <w:rPr>
                <w:sz w:val="9"/>
                <w:szCs w:val="9"/>
                <w:color w:val="auto"/>
              </w:rPr>
            </w:pPr>
          </w:p>
        </w:tc>
        <w:tc>
          <w:tcPr>
            <w:tcW w:w="1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6098540</wp:posOffset>
            </wp:positionH>
            <wp:positionV relativeFrom="paragraph">
              <wp:posOffset>-2118995</wp:posOffset>
            </wp:positionV>
            <wp:extent cx="9144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5086985</wp:posOffset>
            </wp:positionH>
            <wp:positionV relativeFrom="paragraph">
              <wp:posOffset>-2118995</wp:posOffset>
            </wp:positionV>
            <wp:extent cx="9144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57" w:lineRule="exact"/>
        <w:rPr>
          <w:sz w:val="20"/>
          <w:szCs w:val="20"/>
          <w:color w:val="auto"/>
        </w:rPr>
      </w:pPr>
    </w:p>
    <w:p>
      <w:pPr>
        <w:jc w:val="both"/>
        <w:ind w:left="420" w:right="60" w:hanging="416"/>
        <w:spacing w:after="0" w:line="203" w:lineRule="auto"/>
        <w:tabs>
          <w:tab w:leader="none" w:pos="420" w:val="left"/>
        </w:tabs>
        <w:numPr>
          <w:ilvl w:val="0"/>
          <w:numId w:val="2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Shared voting and shared dispositive power in respect of 25,559,846 shares, as stated in a Schedule 13D/A jointly filed with the SEC on March 4, 2025 by Energy Transition Holdings LLC, Great Mountain Partners LLC, Jonathan Rotolo and Alexander Thomson. Energy Transition Holdings LLC is managed by Great Mountain Partners LLC. Jonathan Rotolo and Alexander Thomson are the managers of Great Mountain Partners LLC and, in that capacity, have voting and dispositive power over the shares held by Energy Transition Holdings LLC. The address of the principal business office of the reporting persons is 157 Church Street, 20th Floor, New Haven, CT, 06510</w:t>
      </w:r>
    </w:p>
    <w:p>
      <w:pPr>
        <w:spacing w:after="0" w:line="93" w:lineRule="exact"/>
        <w:rPr>
          <w:rFonts w:ascii="Times New Roman" w:cs="Times New Roman" w:eastAsia="Times New Roman" w:hAnsi="Times New Roman"/>
          <w:sz w:val="12"/>
          <w:szCs w:val="12"/>
          <w:color w:val="auto"/>
          <w:vertAlign w:val="superscript"/>
        </w:rPr>
      </w:pPr>
    </w:p>
    <w:p>
      <w:pPr>
        <w:ind w:left="420" w:right="100" w:hanging="416"/>
        <w:spacing w:after="0" w:line="202" w:lineRule="auto"/>
        <w:tabs>
          <w:tab w:leader="none" w:pos="420" w:val="left"/>
        </w:tabs>
        <w:numPr>
          <w:ilvl w:val="0"/>
          <w:numId w:val="21"/>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Shared voting and shared dispositive power in respect of 25,086,851 shares, as stated in a Schedule 13D/A jointly filed with the SEC on June 15, 2021 by Edens Family Holdings LLC and Lynn M. Edens. The address of the principal business office of Edens Family Holdings LLC and Lynn M. Edens is c/o Baobob Advisors LLC, 111 W. 19th St., 8th Floor, New York, New York 10011.</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6"/>
          <w:szCs w:val="6"/>
          <w:color w:val="auto"/>
        </w:rPr>
        <w:t>(4)</w:t>
      </w:r>
    </w:p>
    <w:p>
      <w:pPr>
        <w:ind w:left="420" w:right="140"/>
        <w:spacing w:after="0" w:line="237" w:lineRule="auto"/>
        <w:rPr>
          <w:sz w:val="20"/>
          <w:szCs w:val="20"/>
          <w:color w:val="auto"/>
        </w:rPr>
      </w:pPr>
      <w:r>
        <w:rPr>
          <w:rFonts w:ascii="Times New Roman" w:cs="Times New Roman" w:eastAsia="Times New Roman" w:hAnsi="Times New Roman"/>
          <w:sz w:val="10"/>
          <w:szCs w:val="10"/>
          <w:color w:val="auto"/>
        </w:rPr>
        <w:t>Sole voting power of in respect of 20,052,698 shares and sole dispositive power in respect of 20,093,295 shares, as stated in a Schedule 13G filed with the SEC on February 13, 2025. The address of the principal business office of Capital World Investors is 333 South Hope Street, 55</w:t>
      </w:r>
      <w:r>
        <w:rPr>
          <w:rFonts w:ascii="Times New Roman" w:cs="Times New Roman" w:eastAsia="Times New Roman" w:hAnsi="Times New Roman"/>
          <w:sz w:val="12"/>
          <w:szCs w:val="12"/>
          <w:color w:val="auto"/>
          <w:vertAlign w:val="superscript"/>
        </w:rPr>
        <w:t>th</w:t>
      </w:r>
      <w:r>
        <w:rPr>
          <w:rFonts w:ascii="Times New Roman" w:cs="Times New Roman" w:eastAsia="Times New Roman" w:hAnsi="Times New Roman"/>
          <w:sz w:val="10"/>
          <w:szCs w:val="10"/>
          <w:color w:val="auto"/>
        </w:rPr>
        <w:t xml:space="preserve"> Floor, Los Angeles, California 90071.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6"/>
          <w:szCs w:val="6"/>
          <w:color w:val="auto"/>
        </w:rPr>
        <w:t>(5)</w:t>
      </w:r>
    </w:p>
    <w:p>
      <w:pPr>
        <w:ind w:left="420" w:right="160"/>
        <w:spacing w:after="0" w:line="221" w:lineRule="auto"/>
        <w:rPr>
          <w:sz w:val="20"/>
          <w:szCs w:val="20"/>
          <w:color w:val="auto"/>
        </w:rPr>
      </w:pPr>
      <w:r>
        <w:rPr>
          <w:rFonts w:ascii="Times New Roman" w:cs="Times New Roman" w:eastAsia="Times New Roman" w:hAnsi="Times New Roman"/>
          <w:sz w:val="10"/>
          <w:szCs w:val="10"/>
          <w:color w:val="auto"/>
        </w:rPr>
        <w:t>Shared voting power and shared dispositive power in respect of 15,000,000 shares, as stated in a Schedule 13G filed with the SEC on February 13, 2025. The address of the principal business office of Rubric Capital Management LP is 155 East 44th Street, Suite 1630, New York, NY 10017.</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1" w:right="299" w:bottom="1440" w:gutter="0" w:footer="0" w:header="0"/>
        </w:sectPr>
      </w:pPr>
    </w:p>
    <w:bookmarkStart w:id="34" w:name="page35"/>
    <w:bookmarkEnd w:id="34"/>
    <w:p>
      <w:pPr>
        <w:ind w:left="420" w:right="300" w:hanging="416"/>
        <w:spacing w:after="0" w:line="211" w:lineRule="auto"/>
        <w:tabs>
          <w:tab w:leader="none" w:pos="420" w:val="left"/>
        </w:tabs>
        <w:numPr>
          <w:ilvl w:val="0"/>
          <w:numId w:val="2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Based on the Form 4 filed with the SEC on March 12, 2025 by Wesley R. Edens. Mr. Edens reported beneficial ownership of 36,021,915 shares by Edens Family Partners LLC; Mr. Edens had perviously disclosed in a Form 4 filed with the SEC on March 11, 2025 beneficial ownership of 17,612,751 shares by WRE 2012 GST Exempt Trust LLC.</w:t>
      </w:r>
    </w:p>
    <w:p>
      <w:pPr>
        <w:spacing w:after="0" w:line="69" w:lineRule="exact"/>
        <w:rPr>
          <w:rFonts w:ascii="Times New Roman" w:cs="Times New Roman" w:eastAsia="Times New Roman" w:hAnsi="Times New Roman"/>
          <w:sz w:val="12"/>
          <w:szCs w:val="12"/>
          <w:color w:val="auto"/>
          <w:vertAlign w:val="superscript"/>
        </w:rPr>
      </w:pPr>
    </w:p>
    <w:p>
      <w:pPr>
        <w:ind w:left="420" w:hanging="416"/>
        <w:spacing w:after="0"/>
        <w:tabs>
          <w:tab w:leader="none" w:pos="420" w:val="left"/>
        </w:tabs>
        <w:numPr>
          <w:ilvl w:val="0"/>
          <w:numId w:val="2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Based on the Schedule 13D/A filed with the SEC on May 22, 2023 by Randal A. Nardone. Mr. Nardone reported sole voting and sole dispositive power with respect to the 26,196,526 shares of Common Stock.</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Delinquent Section 16(a) Reports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Section 16(a) of the Exchange Act requires directors, executive officers and persons beneficially owning more than ten percent of a registered class of a company’s equity securities to file reports of ownership and changes in ownership</w:t>
      </w:r>
    </w:p>
    <w:p>
      <w:pPr>
        <w:spacing w:after="0" w:line="12" w:lineRule="exact"/>
        <w:rPr>
          <w:sz w:val="20"/>
          <w:szCs w:val="20"/>
          <w:color w:val="auto"/>
        </w:rPr>
      </w:pPr>
    </w:p>
    <w:p>
      <w:pPr>
        <w:jc w:val="both"/>
        <w:ind w:right="200"/>
        <w:spacing w:after="0" w:line="218" w:lineRule="auto"/>
        <w:rPr>
          <w:sz w:val="20"/>
          <w:szCs w:val="20"/>
          <w:color w:val="auto"/>
        </w:rPr>
      </w:pPr>
      <w:r>
        <w:rPr>
          <w:rFonts w:ascii="Times New Roman" w:cs="Times New Roman" w:eastAsia="Times New Roman" w:hAnsi="Times New Roman"/>
          <w:sz w:val="12"/>
          <w:szCs w:val="12"/>
          <w:color w:val="auto"/>
        </w:rPr>
        <w:t>on Forms 3, 4, and 5 with the SEC. To our knowledge, based solely on review of the copies of such reports filed with the SEC, or written representations from such persons, all reports required to be filed by our directors, executive officers and greater-than-ten-percent owners with respect to the year ended December 31, 2024 were timely filed in compliance with the Section 16(a) filing requirements, except for two Form 4s filed by Christopher S. Guinta and Yunyoung Shin in April 2024, each reporting 1 late transaction made in March 2024.</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584" w:right="359" w:bottom="1440" w:gutter="0" w:footer="0" w:header="0"/>
        </w:sectPr>
      </w:pPr>
    </w:p>
    <w:bookmarkStart w:id="35" w:name="page36"/>
    <w:bookmarkEnd w:id="35"/>
    <w:p>
      <w:pPr>
        <w:ind w:left="3940"/>
        <w:spacing w:after="0"/>
        <w:rPr>
          <w:sz w:val="20"/>
          <w:szCs w:val="20"/>
          <w:color w:val="auto"/>
        </w:rPr>
      </w:pPr>
      <w:r>
        <w:rPr>
          <w:rFonts w:ascii="Times New Roman" w:cs="Times New Roman" w:eastAsia="Times New Roman" w:hAnsi="Times New Roman"/>
          <w:sz w:val="12"/>
          <w:szCs w:val="12"/>
          <w:b w:val="1"/>
          <w:bCs w:val="1"/>
          <w:color w:val="auto"/>
        </w:rPr>
        <w:t>CERTAIN RELATIONSHIPS AND RELATED TRANSACTIONS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Procedures for Review, Approval and Ratification of Transactions with Related Persons</w:t>
      </w:r>
    </w:p>
    <w:p>
      <w:pPr>
        <w:spacing w:after="0" w:line="154" w:lineRule="exact"/>
        <w:rPr>
          <w:sz w:val="20"/>
          <w:szCs w:val="20"/>
          <w:color w:val="auto"/>
        </w:rPr>
      </w:pPr>
    </w:p>
    <w:p>
      <w:pPr>
        <w:ind w:right="60" w:firstLine="216"/>
        <w:spacing w:after="0" w:line="256" w:lineRule="auto"/>
        <w:rPr>
          <w:sz w:val="20"/>
          <w:szCs w:val="20"/>
          <w:color w:val="auto"/>
        </w:rPr>
      </w:pPr>
      <w:r>
        <w:rPr>
          <w:rFonts w:ascii="Times New Roman" w:cs="Times New Roman" w:eastAsia="Times New Roman" w:hAnsi="Times New Roman"/>
          <w:sz w:val="12"/>
          <w:szCs w:val="12"/>
          <w:color w:val="auto"/>
        </w:rPr>
        <w:t>SEC rules define “transactions with related persons” to include any transaction in which the Company is a participant, the amount involved exceeds $120,000, and in which any “related person,” including any officer, director, nominee for director or beneficial holder of more than 5% of any class of our voting securities or an immediate family member of any of the foregoing, has a direct or indirect material interest. Our Board of Directors has adopted a written policy that outlines procedures for approving transactions with related persons, and any such transactions will be reviewed and approved or ratified by a majority of our disinterested and independent directors pursuant to the procedures outlined in such policy. In determining whether to approve or ratify a transaction with a related person, we expect that the independent and disinterested directors will consider a variety of factors they deem relevant. The policy includes standing pre-approvals for specified categories of transactions, including, with certain limitations, investments in securities offerings, charter aircraft use and services provided pursuant to the Company’s Administrative Services Agreement with FIG LLC.</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Certain Relationships and Related Transactions</w:t>
      </w:r>
    </w:p>
    <w:p>
      <w:pPr>
        <w:spacing w:after="0" w:line="154" w:lineRule="exact"/>
        <w:rPr>
          <w:sz w:val="20"/>
          <w:szCs w:val="20"/>
          <w:color w:val="auto"/>
        </w:rPr>
      </w:pPr>
    </w:p>
    <w:p>
      <w:pPr>
        <w:ind w:right="160" w:firstLine="216"/>
        <w:spacing w:after="0" w:line="279" w:lineRule="auto"/>
        <w:rPr>
          <w:sz w:val="20"/>
          <w:szCs w:val="20"/>
          <w:color w:val="auto"/>
        </w:rPr>
      </w:pPr>
      <w:r>
        <w:rPr>
          <w:rFonts w:ascii="Times New Roman" w:cs="Times New Roman" w:eastAsia="Times New Roman" w:hAnsi="Times New Roman"/>
          <w:sz w:val="12"/>
          <w:szCs w:val="12"/>
          <w:color w:val="auto"/>
        </w:rPr>
        <w:t>The terms of the transactions and agreements disclosed in this section were determined by and among affiliated entities and, consequently, are not the result of arm’s length negotiations. These terms are not necessarily at least as favorable to the parties to these transactions and agreements as the terms that could have been obtained from unaffiliated third parties.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Agreements with Affiliates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Shareholders’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General</w:t>
      </w:r>
    </w:p>
    <w:p>
      <w:pPr>
        <w:spacing w:after="0" w:line="152" w:lineRule="exact"/>
        <w:rPr>
          <w:sz w:val="20"/>
          <w:szCs w:val="20"/>
          <w:color w:val="auto"/>
        </w:rPr>
      </w:pPr>
    </w:p>
    <w:p>
      <w:pPr>
        <w:ind w:right="20" w:firstLine="216"/>
        <w:spacing w:after="0" w:line="257" w:lineRule="auto"/>
        <w:rPr>
          <w:sz w:val="20"/>
          <w:szCs w:val="20"/>
          <w:color w:val="auto"/>
        </w:rPr>
      </w:pPr>
      <w:r>
        <w:rPr>
          <w:rFonts w:ascii="Times New Roman" w:cs="Times New Roman" w:eastAsia="Times New Roman" w:hAnsi="Times New Roman"/>
          <w:sz w:val="12"/>
          <w:szCs w:val="12"/>
          <w:color w:val="auto"/>
        </w:rPr>
        <w:t>In connection with the closing of our initial public offering in 2019 (the “Offering”), we entered into the Shareholders’ Agreement with New Fortress Energy Holdings and its affiliates. Our Shareholders’ Agreement provides that the parties thereto will use their respective reasonable efforts (including voting or causing to be voted all of our voting shares beneficially owned by each) so that no amendment is made to our Certificate of Formation or Bylaws in effect as of the date of the Shareholders’ Agreement that would add restrictions to the transferability of our shares by New Fortress Energy Holdings or its permitted transferees which are beyond those provided for in our Certificate of Formation or Bylaws, the Shareholders’ Agreement or applicable securities laws, or that nullify the rights set out in the Shareholders’ Agreements of New Fortress Energy Holdings or its permitted transferees unless such amendment is approved by New Fortress Energy Holdings.</w:t>
      </w:r>
    </w:p>
    <w:p>
      <w:pPr>
        <w:spacing w:after="0" w:line="125" w:lineRule="exact"/>
        <w:rPr>
          <w:sz w:val="20"/>
          <w:szCs w:val="20"/>
          <w:color w:val="auto"/>
        </w:rPr>
      </w:pPr>
    </w:p>
    <w:p>
      <w:pPr>
        <w:ind w:right="120" w:firstLine="216"/>
        <w:spacing w:after="0" w:line="279" w:lineRule="auto"/>
        <w:rPr>
          <w:sz w:val="20"/>
          <w:szCs w:val="20"/>
          <w:color w:val="auto"/>
        </w:rPr>
      </w:pPr>
      <w:r>
        <w:rPr>
          <w:rFonts w:ascii="Times New Roman" w:cs="Times New Roman" w:eastAsia="Times New Roman" w:hAnsi="Times New Roman"/>
          <w:sz w:val="12"/>
          <w:szCs w:val="12"/>
          <w:color w:val="auto"/>
        </w:rPr>
        <w:t>New Fortress Energy Holdings has assigned, pursuant to the terms of the Shareholders’ Agreement, to the affiliates of certain entities controlled by Wesley R. Edens and Randal A. Nardone (the “Founder Entities”), New Fortress Energy Holdings’ rights and obligations under the Shareholders’ Agreement.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Designation and Election of Directors</w:t>
      </w:r>
    </w:p>
    <w:p>
      <w:pPr>
        <w:spacing w:after="0" w:line="152" w:lineRule="exact"/>
        <w:rPr>
          <w:sz w:val="20"/>
          <w:szCs w:val="20"/>
          <w:color w:val="auto"/>
        </w:rPr>
      </w:pPr>
    </w:p>
    <w:p>
      <w:pPr>
        <w:ind w:right="20" w:firstLine="216"/>
        <w:spacing w:after="0" w:line="260" w:lineRule="auto"/>
        <w:rPr>
          <w:sz w:val="20"/>
          <w:szCs w:val="20"/>
          <w:color w:val="auto"/>
        </w:rPr>
      </w:pPr>
      <w:r>
        <w:rPr>
          <w:rFonts w:ascii="Times New Roman" w:cs="Times New Roman" w:eastAsia="Times New Roman" w:hAnsi="Times New Roman"/>
          <w:sz w:val="12"/>
          <w:szCs w:val="12"/>
          <w:color w:val="auto"/>
        </w:rPr>
        <w:t>Our Shareholders’ Agreement provides that, for so long as the Shareholders’ Agreement is in effect, we and the Founder Entities (including certain former members of New Fortress Energy Holdings) shall take all reasonable actions within our respective control (including voting or causing to be voted all of the securities entitled to vote generally in the election of our directors held of record or beneficially owned by the Founder Entities, and, with respect to us, including in the slate of nominees recommended by the Board of Directors those individuals designated by the Founder Entities) so as to elect to the Board of Directors, and to cause to continue in office, not more than eight directors (or such other number as the Founder Entities may agree in writing), of whom, at any given time:</w:t>
      </w:r>
    </w:p>
    <w:p>
      <w:pPr>
        <w:spacing w:after="0" w:line="122" w:lineRule="exact"/>
        <w:rPr>
          <w:sz w:val="20"/>
          <w:szCs w:val="20"/>
          <w:color w:val="auto"/>
        </w:rPr>
      </w:pPr>
    </w:p>
    <w:p>
      <w:pPr>
        <w:ind w:left="420" w:right="40" w:hanging="212"/>
        <w:spacing w:after="0" w:line="265" w:lineRule="auto"/>
        <w:tabs>
          <w:tab w:leader="none" w:pos="417"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number of directors equal to a majority of the Board of Directors, plus one director, shall be individuals designated by the Founder Entities, for so long as the Founder Entities directly or indirectly beneficially own, together with their permitted transferees, at least 30% of our voting power; provided that if the Board of Directors consists of six or fewer directors, then the Founder Entities shall have the right to designate a number of directors equal to a majority of the Board of Directors;</w:t>
      </w:r>
    </w:p>
    <w:p>
      <w:pPr>
        <w:spacing w:after="0" w:line="118"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17"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number of directors equal to a majority of the Board of Directors, minus one director, shall be individuals designated by the Founder Entities, for so long as the Founder Entities directly or indirectly beneficially own, together with their permitted transferees, less than 30% but at least 20% of our voting power; provided that if the Board of Directors consists of six or fewer directors, then the Founder Entities shall have the right to designate a number of directors equal to three directors;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1" w:right="319" w:bottom="1440" w:gutter="0" w:footer="0" w:header="0"/>
        </w:sectPr>
      </w:pPr>
    </w:p>
    <w:bookmarkStart w:id="36" w:name="page37"/>
    <w:bookmarkEnd w:id="36"/>
    <w:p>
      <w:pPr>
        <w:ind w:left="420" w:right="20" w:hanging="212"/>
        <w:spacing w:after="0" w:line="265" w:lineRule="auto"/>
        <w:tabs>
          <w:tab w:leader="none" w:pos="417"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number of directors (rounded up to the nearest whole number) that would be required to maintain the Founder Entities’ proportional representation on the Board of Directors shall be individuals designated by the Founder Entities for so long as the Founder Entities directly or indirectly beneficially own, together with their permitted transferees, less than 20% but at least 10% of our voting power; provided that if the Board of Directors consists of six or fewer directors, then the Founder Entities shall have the right to designate a number of directors equal to two directors; and</w:t>
      </w:r>
    </w:p>
    <w:p>
      <w:pPr>
        <w:spacing w:after="0" w:line="118" w:lineRule="exact"/>
        <w:rPr>
          <w:rFonts w:ascii="Times New Roman" w:cs="Times New Roman" w:eastAsia="Times New Roman" w:hAnsi="Times New Roman"/>
          <w:sz w:val="12"/>
          <w:szCs w:val="12"/>
          <w:color w:val="auto"/>
        </w:rPr>
      </w:pPr>
    </w:p>
    <w:p>
      <w:pPr>
        <w:ind w:left="420" w:right="80" w:hanging="212"/>
        <w:spacing w:after="0" w:line="265" w:lineRule="auto"/>
        <w:tabs>
          <w:tab w:leader="none" w:pos="417"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number of directors (rounded up to the nearest whole number) that would be required to maintain the Founder Entities’ proportional representation on the Board of Directors shall be individuals designated by the Founder Entities for so long as the Founder Entities directly or indirectly beneficially own, together with their permitted transferees, less than 10% but at least 5% of our voting power; provided that if the Board of Directors consists of six or fewer directors, then the Founder Entities shall have the right to designate a number of directors equal to one director.</w:t>
      </w:r>
    </w:p>
    <w:p>
      <w:pPr>
        <w:spacing w:after="0" w:line="119" w:lineRule="exact"/>
        <w:rPr>
          <w:sz w:val="20"/>
          <w:szCs w:val="20"/>
          <w:color w:val="auto"/>
        </w:rPr>
      </w:pPr>
    </w:p>
    <w:p>
      <w:pPr>
        <w:ind w:right="200" w:firstLine="216"/>
        <w:spacing w:after="0" w:line="279" w:lineRule="auto"/>
        <w:rPr>
          <w:sz w:val="20"/>
          <w:szCs w:val="20"/>
          <w:color w:val="auto"/>
        </w:rPr>
      </w:pPr>
      <w:r>
        <w:rPr>
          <w:rFonts w:ascii="Times New Roman" w:cs="Times New Roman" w:eastAsia="Times New Roman" w:hAnsi="Times New Roman"/>
          <w:sz w:val="12"/>
          <w:szCs w:val="12"/>
          <w:color w:val="auto"/>
        </w:rPr>
        <w:t>So long as the Founder Entities are entitled to designate one or more nominees to the Board of Directors and notifies the Board of Directors of their desire to remove, with or without cause, any director previously designated by them to the Board of Directors, we are required to take all necessary action to cause such removal.</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In accordance with the Shareholders’ Agreement, New Fortress Energy Holdings originally designated Messrs. Catterall, Grain, Griffin, Jay and Sledge and Ms. Wanner for election to our Board of Directors.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Indemnification</w:t>
      </w:r>
    </w:p>
    <w:p>
      <w:pPr>
        <w:spacing w:after="0" w:line="152"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The Shareholders’ Agreement provides that we will indemnify the Founder Entities and their officers, directors, employees, agents and affiliates against losses arising out of third-party claims (including litigation matters and other claims) based on, arising out of or resulting from:</w:t>
      </w:r>
    </w:p>
    <w:p>
      <w:pPr>
        <w:spacing w:after="0" w:line="111" w:lineRule="exact"/>
        <w:rPr>
          <w:sz w:val="20"/>
          <w:szCs w:val="20"/>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ownership or the operation of our assets or properties, and the operation or conduct of our business, prior to or following the Offering; and</w:t>
      </w:r>
    </w:p>
    <w:p>
      <w:pPr>
        <w:spacing w:after="0" w:line="150"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activities we engage in.</w:t>
      </w:r>
    </w:p>
    <w:p>
      <w:pPr>
        <w:spacing w:after="0" w:line="150" w:lineRule="exact"/>
        <w:rPr>
          <w:sz w:val="20"/>
          <w:szCs w:val="20"/>
          <w:color w:val="auto"/>
        </w:rPr>
      </w:pPr>
    </w:p>
    <w:p>
      <w:pPr>
        <w:ind w:right="220" w:firstLine="216"/>
        <w:spacing w:after="0" w:line="265" w:lineRule="auto"/>
        <w:rPr>
          <w:sz w:val="20"/>
          <w:szCs w:val="20"/>
          <w:color w:val="auto"/>
        </w:rPr>
      </w:pPr>
      <w:r>
        <w:rPr>
          <w:rFonts w:ascii="Times New Roman" w:cs="Times New Roman" w:eastAsia="Times New Roman" w:hAnsi="Times New Roman"/>
          <w:sz w:val="12"/>
          <w:szCs w:val="12"/>
          <w:color w:val="auto"/>
        </w:rPr>
        <w:t>In addition, we have agreed to indemnify the Founder Entities and their officers, directors, employees, agents and affiliates against losses, including liabilities under the Securities Act and the Exchange Act, relating to misstatements in or omissions from any registration statement or report that we file, other than misstatements or omissions made in reliance on information relating to and furnished by New Fortress Energy Holdings or the Founder Entities for use in the preparation of that registration statement or this Proxy Statement, against which New Fortress Energy Holdings or the Founder Entities, as applicable, has agreed to indemnify us.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Registration Rights</w:t>
      </w:r>
    </w:p>
    <w:p>
      <w:pPr>
        <w:spacing w:after="0" w:line="150" w:lineRule="exact"/>
        <w:rPr>
          <w:sz w:val="20"/>
          <w:szCs w:val="20"/>
          <w:color w:val="auto"/>
        </w:rPr>
      </w:pPr>
    </w:p>
    <w:p>
      <w:pPr>
        <w:ind w:right="40"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Demand Rights. </w:t>
      </w:r>
      <w:r>
        <w:rPr>
          <w:rFonts w:ascii="Times New Roman" w:cs="Times New Roman" w:eastAsia="Times New Roman" w:hAnsi="Times New Roman"/>
          <w:sz w:val="12"/>
          <w:szCs w:val="12"/>
          <w:color w:val="auto"/>
        </w:rPr>
        <w:t>Under our Shareholders’ Agreement, the Founder Entities have, for so long as the Founder Entities directly or indirectly beneficially owns, together with their permitted transferees, an amount of our shares of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Common Stock (whether owned at the time of the Offering or subsequently acquired) equal to or greater than 1% of the shares of Common Stock issued and outstanding immediately after the consummation of the Offering (a “Registrable Amount”), “demand” registration rights that allow the Founder Entities, and on behalf of their permitted transferees, at any time after 180 days following the consummation of the Offering, to request that we register under the Securities Act an amount of shares of Common Stock equal to or greater than a Registrable Amount.</w:t>
      </w:r>
    </w:p>
    <w:p>
      <w:pPr>
        <w:spacing w:after="0" w:line="122" w:lineRule="exact"/>
        <w:rPr>
          <w:sz w:val="20"/>
          <w:szCs w:val="20"/>
          <w:color w:val="auto"/>
        </w:rPr>
      </w:pPr>
    </w:p>
    <w:p>
      <w:pPr>
        <w:ind w:right="120" w:firstLine="216"/>
        <w:spacing w:after="0" w:line="265" w:lineRule="auto"/>
        <w:rPr>
          <w:sz w:val="20"/>
          <w:szCs w:val="20"/>
          <w:color w:val="auto"/>
        </w:rPr>
      </w:pPr>
      <w:r>
        <w:rPr>
          <w:rFonts w:ascii="Times New Roman" w:cs="Times New Roman" w:eastAsia="Times New Roman" w:hAnsi="Times New Roman"/>
          <w:sz w:val="12"/>
          <w:szCs w:val="12"/>
          <w:color w:val="auto"/>
        </w:rPr>
        <w:t>The Founder Entities, and on behalf of their permitted transferees, are entitled to unlimited demand registrations so long as such persons, together, beneficially own a Registrable Amount. We also are not required to effect any demand registration within one month of a “firm commitment” underwritten offering to which the requestor held “piggyback” rights, described below, and which included at least 50% of the shares of Common Stock requested by the requestor to be included or within one month of any other underwritten offering pursuant to a shelf registration statement.</w:t>
      </w:r>
    </w:p>
    <w:p>
      <w:pPr>
        <w:spacing w:after="0" w:line="117" w:lineRule="exact"/>
        <w:rPr>
          <w:sz w:val="20"/>
          <w:szCs w:val="20"/>
          <w:color w:val="auto"/>
        </w:rPr>
      </w:pPr>
    </w:p>
    <w:p>
      <w:pPr>
        <w:ind w:firstLine="216"/>
        <w:spacing w:after="0" w:line="261" w:lineRule="auto"/>
        <w:rPr>
          <w:sz w:val="20"/>
          <w:szCs w:val="20"/>
          <w:color w:val="auto"/>
        </w:rPr>
      </w:pPr>
      <w:r>
        <w:rPr>
          <w:rFonts w:ascii="Times New Roman" w:cs="Times New Roman" w:eastAsia="Times New Roman" w:hAnsi="Times New Roman"/>
          <w:sz w:val="12"/>
          <w:szCs w:val="12"/>
          <w:i w:val="1"/>
          <w:iCs w:val="1"/>
          <w:color w:val="auto"/>
        </w:rPr>
        <w:t xml:space="preserve">Piggyback Rights. </w:t>
      </w:r>
      <w:r>
        <w:rPr>
          <w:rFonts w:ascii="Times New Roman" w:cs="Times New Roman" w:eastAsia="Times New Roman" w:hAnsi="Times New Roman"/>
          <w:sz w:val="12"/>
          <w:szCs w:val="12"/>
          <w:color w:val="auto"/>
        </w:rPr>
        <w:t>For so long as the Founder Entities beneficially owns, together with their permitted transferees, a Registrable Amount, the Founder Entities (and its permitted transferees) also have “piggyback” registration rights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that allow them to include shares of Common Stock that they own in any public offering of equity securities initiated by us (other than those public offerings pursuant to registration statements on Form S-4 or Form S-8 or pursuant to an employee benefit plan arrangement) or by any of our other stockholders that have registration rights. These “piggyback” registration rights are subject to proportional cutbacks based on the manner of the offering and the identity of the party initiating such offering.</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5" w:right="319" w:bottom="1440" w:gutter="0" w:footer="0" w:header="0"/>
        </w:sectPr>
      </w:pPr>
    </w:p>
    <w:bookmarkStart w:id="37" w:name="page38"/>
    <w:bookmarkEnd w:id="37"/>
    <w:p>
      <w:pPr>
        <w:ind w:right="60" w:firstLine="216"/>
        <w:spacing w:after="0" w:line="258" w:lineRule="auto"/>
        <w:rPr>
          <w:sz w:val="20"/>
          <w:szCs w:val="20"/>
          <w:color w:val="auto"/>
        </w:rPr>
      </w:pPr>
      <w:r>
        <w:rPr>
          <w:rFonts w:ascii="Times New Roman" w:cs="Times New Roman" w:eastAsia="Times New Roman" w:hAnsi="Times New Roman"/>
          <w:sz w:val="12"/>
          <w:szCs w:val="12"/>
          <w:i w:val="1"/>
          <w:iCs w:val="1"/>
          <w:color w:val="auto"/>
        </w:rPr>
        <w:t xml:space="preserve">Shelf Registration. </w:t>
      </w:r>
      <w:r>
        <w:rPr>
          <w:rFonts w:ascii="Times New Roman" w:cs="Times New Roman" w:eastAsia="Times New Roman" w:hAnsi="Times New Roman"/>
          <w:sz w:val="12"/>
          <w:szCs w:val="12"/>
          <w:color w:val="auto"/>
        </w:rPr>
        <w:t>Under our Shareholders’ Agreement, we granted to the Founder Entities or any of their permitted transferees, for so long as the Founder Entities, together with their permitted transferees, beneficially owns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Registrable Amount, the right to request a shelf registration on Form S-3 providing for offerings of shares of Common Stock issuable upon exercise of the Redemption Right to be made on a continuous basis until all shares covered by such registration have been sold, subject to our right to suspend the use of the shelf registration prospectuses for a reasonable period of time (not exceeding 60 days in succession or 90 days in the aggregate in any 12-month period) if we determine that certain disclosures required by the shelf registration statement would be detrimental to us or our stockholders. In addition, the Founder Entities, and on behalf of their permitted transferees, may elect to participate in such shelf registrations within ten days after notice of the registration is given.</w:t>
      </w:r>
    </w:p>
    <w:p>
      <w:pPr>
        <w:spacing w:after="0" w:line="122"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i w:val="1"/>
          <w:iCs w:val="1"/>
          <w:color w:val="auto"/>
        </w:rPr>
        <w:t xml:space="preserve">Indemnification; Expenses; Lock-ups. </w:t>
      </w:r>
      <w:r>
        <w:rPr>
          <w:rFonts w:ascii="Times New Roman" w:cs="Times New Roman" w:eastAsia="Times New Roman" w:hAnsi="Times New Roman"/>
          <w:sz w:val="12"/>
          <w:szCs w:val="12"/>
          <w:color w:val="auto"/>
        </w:rPr>
        <w:t>Under our Shareholders’ Agreement, we agreed to indemnify the applicable selling shareholder and its officers, directors, employees, managers, members partners, agents and controlling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persons against any losses or damages resulting from any untrue statement or omission of material fact in any registration statement or prospectus pursuant to which it sells shares of Common Stock, unless such liability arose from the applicable selling stockholder’s misstatement or omission, and the applicable selling stockholder agrees to indemnify us against all losses caused by its misstatements or omissions. We will pay all registration and offering-related expenses incidental to our performance under the Shareholders’ Agreement, and the applicable selling stockholder will pay its portion of all underwriting discounts, commissions and transfer taxes, if any, relating to the sale of its shares of Common Stock under the Shareholders’ Agreement. We have entered into, and have caused our officers and directors to enter into, lock-up agreements in connection with any exercise of registration rights by the Founder Entities, and on behalf of their permitted transferees.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Information Rights</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Under our Shareholders’ Agreement, the Founder Entities have the right to request certain information from us.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Assistance in the Sale of the Founder Entities’ Shares</w:t>
      </w:r>
    </w:p>
    <w:p>
      <w:pPr>
        <w:spacing w:after="0" w:line="152" w:lineRule="exact"/>
        <w:rPr>
          <w:sz w:val="20"/>
          <w:szCs w:val="20"/>
          <w:color w:val="auto"/>
        </w:rPr>
      </w:pPr>
    </w:p>
    <w:p>
      <w:pPr>
        <w:ind w:right="40" w:firstLine="216"/>
        <w:spacing w:after="0" w:line="279" w:lineRule="auto"/>
        <w:rPr>
          <w:sz w:val="20"/>
          <w:szCs w:val="20"/>
          <w:color w:val="auto"/>
        </w:rPr>
      </w:pPr>
      <w:r>
        <w:rPr>
          <w:rFonts w:ascii="Times New Roman" w:cs="Times New Roman" w:eastAsia="Times New Roman" w:hAnsi="Times New Roman"/>
          <w:sz w:val="12"/>
          <w:szCs w:val="12"/>
          <w:color w:val="auto"/>
        </w:rPr>
        <w:t>Under our Shareholders’ Agreement, if the Founder Entities seek to sell their shares of Common Stock other than pursuant to a registration statement, we shall use our reasonable best efforts to assist the Founder Entities in the sale process, including by providing information to potential purchasers as requested by the Founder Entities.</w:t>
      </w:r>
    </w:p>
    <w:p>
      <w:pPr>
        <w:spacing w:after="0" w:line="111" w:lineRule="exact"/>
        <w:rPr>
          <w:sz w:val="20"/>
          <w:szCs w:val="20"/>
          <w:color w:val="auto"/>
        </w:rPr>
      </w:pPr>
    </w:p>
    <w:p>
      <w:pPr>
        <w:ind w:right="180" w:firstLine="216"/>
        <w:spacing w:after="0" w:line="279" w:lineRule="auto"/>
        <w:rPr>
          <w:sz w:val="20"/>
          <w:szCs w:val="20"/>
          <w:color w:val="auto"/>
        </w:rPr>
      </w:pPr>
      <w:r>
        <w:rPr>
          <w:rFonts w:ascii="Times New Roman" w:cs="Times New Roman" w:eastAsia="Times New Roman" w:hAnsi="Times New Roman"/>
          <w:sz w:val="12"/>
          <w:szCs w:val="12"/>
          <w:color w:val="auto"/>
        </w:rPr>
        <w:t>In addition, if the Board of Directors starts and then abandons a sale process, and the Founder Entities subsequently indicate that they want to sell their shares of Common Stock, we shall permit the Founder Entities to engage in discussions with potential purchasers who participated in the abandoned sales process. We shall be obligated to assist the Founder Entities in any such sale process.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Transactions with Related Persons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Administrative Services Agreement</w:t>
      </w:r>
    </w:p>
    <w:p>
      <w:pPr>
        <w:spacing w:after="0" w:line="154" w:lineRule="exact"/>
        <w:rPr>
          <w:sz w:val="20"/>
          <w:szCs w:val="20"/>
          <w:color w:val="auto"/>
        </w:rPr>
      </w:pPr>
    </w:p>
    <w:p>
      <w:pPr>
        <w:ind w:right="80" w:firstLine="216"/>
        <w:spacing w:after="0" w:line="265" w:lineRule="auto"/>
        <w:rPr>
          <w:sz w:val="20"/>
          <w:szCs w:val="20"/>
          <w:color w:val="auto"/>
        </w:rPr>
      </w:pPr>
      <w:r>
        <w:rPr>
          <w:rFonts w:ascii="Times New Roman" w:cs="Times New Roman" w:eastAsia="Times New Roman" w:hAnsi="Times New Roman"/>
          <w:sz w:val="12"/>
          <w:szCs w:val="12"/>
          <w:color w:val="auto"/>
        </w:rPr>
        <w:t>We are party to an Administrative Services Agreement (“Administrative Agreement”) with FIG LLC, an affiliate of Fortress (which currently employs Wesley R. Edens, our chief executive officer and chairman of our Board of Directors, and Randal A. Nardone, one of our directors), to charge us for certain administrative and general expenses incurred. The charges under the Administrative Agreement that are attributable to the Company totaled $6.8 million for the year ended December 31,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Private Aircraft</w:t>
      </w:r>
    </w:p>
    <w:p>
      <w:pPr>
        <w:spacing w:after="0" w:line="154" w:lineRule="exact"/>
        <w:rPr>
          <w:sz w:val="20"/>
          <w:szCs w:val="20"/>
          <w:color w:val="auto"/>
        </w:rPr>
      </w:pPr>
    </w:p>
    <w:p>
      <w:pPr>
        <w:ind w:right="140" w:firstLine="216"/>
        <w:spacing w:after="0" w:line="279" w:lineRule="auto"/>
        <w:rPr>
          <w:sz w:val="20"/>
          <w:szCs w:val="20"/>
          <w:color w:val="auto"/>
        </w:rPr>
      </w:pPr>
      <w:r>
        <w:rPr>
          <w:rFonts w:ascii="Times New Roman" w:cs="Times New Roman" w:eastAsia="Times New Roman" w:hAnsi="Times New Roman"/>
          <w:sz w:val="12"/>
          <w:szCs w:val="12"/>
          <w:color w:val="auto"/>
        </w:rPr>
        <w:t>Mr. Edens owns an aircraft that we charter from a third-party aircraft operator for business purposes in the ordinary course of operations. We paid market rates for the charters. For the year ended December 31, 2024, we incurred charter costs of $2.1 million, and such amount is included within selling, general and administrative expenses.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Corporate Headquarters Lease and Sublease</w:t>
      </w:r>
    </w:p>
    <w:p>
      <w:pPr>
        <w:spacing w:after="0" w:line="154" w:lineRule="exact"/>
        <w:rPr>
          <w:sz w:val="20"/>
          <w:szCs w:val="20"/>
          <w:color w:val="auto"/>
        </w:rPr>
      </w:pPr>
    </w:p>
    <w:p>
      <w:pPr>
        <w:ind w:right="40" w:firstLine="216"/>
        <w:spacing w:after="0" w:line="300" w:lineRule="auto"/>
        <w:rPr>
          <w:sz w:val="20"/>
          <w:szCs w:val="20"/>
          <w:color w:val="auto"/>
        </w:rPr>
      </w:pPr>
      <w:r>
        <w:rPr>
          <w:rFonts w:ascii="Times New Roman" w:cs="Times New Roman" w:eastAsia="Times New Roman" w:hAnsi="Times New Roman"/>
          <w:sz w:val="11"/>
          <w:szCs w:val="11"/>
          <w:color w:val="auto"/>
        </w:rPr>
        <w:t>In November 2018, we entered into a month-to-month non-exclusive license agreement, pursuant to which we lease our corporate offices from FEP Holdco LLC (“FEP Holdco”), an entity owned jointly by Wesley R. Edens and Randal A. Nardone. The predecessor to FEP Holdco agreed to be the lessor of record for the lease to facilitate the Company’s ability to occupy the space in the timeframe desired by the Company. Under this license agreement, we incurred rent of approximately $0.9 million for the year ended December 31, 2024. In May 2024, FEP Holdco assigned the office lease to the Company, and after this point, the Company no longer incurs rent expense with this affiliate.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703" w:right="319" w:bottom="1440" w:gutter="0" w:footer="0" w:header="0"/>
        </w:sectPr>
      </w:pPr>
    </w:p>
    <w:bookmarkStart w:id="38" w:name="page39"/>
    <w:bookmarkEnd w:id="38"/>
    <w:p>
      <w:pPr>
        <w:ind w:right="100" w:firstLine="216"/>
        <w:spacing w:after="0" w:line="265" w:lineRule="auto"/>
        <w:rPr>
          <w:sz w:val="20"/>
          <w:szCs w:val="20"/>
          <w:color w:val="auto"/>
        </w:rPr>
      </w:pPr>
      <w:r>
        <w:rPr>
          <w:rFonts w:ascii="Times New Roman" w:cs="Times New Roman" w:eastAsia="Times New Roman" w:hAnsi="Times New Roman"/>
          <w:sz w:val="12"/>
          <w:szCs w:val="12"/>
          <w:color w:val="auto"/>
        </w:rPr>
        <w:t>Since February 2023, we have subleased a portion of our corporate offices to FTAI Infrastructure Inc. (“FTAI Infrastructure”) and an affiliate that manages Brightline Trains ("Brightline"). During the year ended December 31, 2024, FTAI Infrastructure and Brightline incurred $0.4 million and $0.2 million of rent expenses, respectively. FTAI Infrastructure and Brightline did not make any payments to us in 2024. We may sublease a portion of our corporate offices to certain other affiliates.</w:t>
      </w:r>
    </w:p>
    <w:p>
      <w:pPr>
        <w:spacing w:after="0" w:line="119" w:lineRule="exact"/>
        <w:rPr>
          <w:sz w:val="20"/>
          <w:szCs w:val="20"/>
          <w:color w:val="auto"/>
        </w:rPr>
      </w:pPr>
    </w:p>
    <w:p>
      <w:pPr>
        <w:ind w:right="60" w:firstLine="216"/>
        <w:spacing w:after="0" w:line="279" w:lineRule="auto"/>
        <w:rPr>
          <w:sz w:val="20"/>
          <w:szCs w:val="20"/>
          <w:color w:val="auto"/>
        </w:rPr>
      </w:pPr>
      <w:r>
        <w:rPr>
          <w:rFonts w:ascii="Times New Roman" w:cs="Times New Roman" w:eastAsia="Times New Roman" w:hAnsi="Times New Roman"/>
          <w:sz w:val="12"/>
          <w:szCs w:val="12"/>
          <w:color w:val="auto"/>
        </w:rPr>
        <w:t>Since September 2023, we have also leased land for development of a hydrogen facility in Beaumont, Texas from Jefferson Terminal South LLC, which is an indirect, majority-owned subsidiary of FTAI Infrastructure. During the year ended December 31, 2024, we incurred $0.7 million of costs under the lease agreement; no amounts were paid to Jefferson Terminal South LLC.</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Miami Ground Lease</w:t>
      </w:r>
    </w:p>
    <w:p>
      <w:pPr>
        <w:spacing w:after="0" w:line="154" w:lineRule="exact"/>
        <w:rPr>
          <w:sz w:val="20"/>
          <w:szCs w:val="20"/>
          <w:color w:val="auto"/>
        </w:rPr>
      </w:pPr>
    </w:p>
    <w:p>
      <w:pPr>
        <w:ind w:right="140" w:firstLine="240"/>
        <w:spacing w:after="0" w:line="260" w:lineRule="auto"/>
        <w:rPr>
          <w:sz w:val="20"/>
          <w:szCs w:val="20"/>
          <w:color w:val="auto"/>
        </w:rPr>
      </w:pPr>
      <w:r>
        <w:rPr>
          <w:rFonts w:ascii="Times New Roman" w:cs="Times New Roman" w:eastAsia="Times New Roman" w:hAnsi="Times New Roman"/>
          <w:sz w:val="12"/>
          <w:szCs w:val="12"/>
          <w:color w:val="auto"/>
        </w:rPr>
        <w:t>Prior to the sale of our liquefaction, storage and production facility in Dade County, Florida (the "Miami Facility"), we leased property from an affiliate of Fortress. Our subsidiary, LNG Holdings (Florida) LLC (“Florida Holdings”), was the owner and operator of the Miami Facility. Florida Holdings held rights to the real property on which the Miami Facility is located pursuant to that certain Ground Lease Agreement dated November 20, 2014 (the “Miami Lease”), by and between FDG LR 7 LLC, as landlord (“Miami Landlord”), and Florida Holdings, as tenant (in such capacity, “Miami Tenant”). The Miami Landlord is owned by certain funds managed by an affiliate of Fortress. We sold all of our interest in Florida Holdings, including the Miami Facility, in November 2024, and after this point, we no longer are subject to the Miami Lease.</w:t>
      </w:r>
    </w:p>
    <w:p>
      <w:pPr>
        <w:spacing w:after="0" w:line="122" w:lineRule="exact"/>
        <w:rPr>
          <w:sz w:val="20"/>
          <w:szCs w:val="20"/>
          <w:color w:val="auto"/>
        </w:rPr>
      </w:pPr>
    </w:p>
    <w:p>
      <w:pPr>
        <w:ind w:firstLine="240"/>
        <w:spacing w:after="0" w:line="260" w:lineRule="auto"/>
        <w:rPr>
          <w:sz w:val="20"/>
          <w:szCs w:val="20"/>
          <w:color w:val="auto"/>
        </w:rPr>
      </w:pPr>
      <w:r>
        <w:rPr>
          <w:rFonts w:ascii="Times New Roman" w:cs="Times New Roman" w:eastAsia="Times New Roman" w:hAnsi="Times New Roman"/>
          <w:sz w:val="12"/>
          <w:szCs w:val="12"/>
          <w:color w:val="auto"/>
        </w:rPr>
        <w:t>The term of the Miami Lease commenced November 20, 2014, and was renewed in November 2019. The term will automatically extend for four additional periods of five years each (unless Miami Tenant notifies Miami Landlord otherwise as set forth in the Miami Lease). Miami Tenant paid base rent in the amount of $0.3 million per year, which amount shall escalate by 2.5% on each anniversary of the commencement date. Miami Tenant had delivered a security deposit in the amount of $0.1 million. Miami Tenant was responsible for all other costs attributable to the Miami leased premises and Miami Facility, including all property taxes, insurance, and utilities, as well as all maintenance, repair, and replacement costs.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Fortress Affiliated Entities</w:t>
      </w:r>
    </w:p>
    <w:p>
      <w:pPr>
        <w:spacing w:after="0" w:line="15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Since 2017, the Company has provided certain administrative services to affiliates of FEP Holdco. There are no costs incurred by the Company as the Company is fully reimbursed for all costs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40"/>
          </w:cols>
          <w:pgMar w:left="300" w:top="705" w:right="35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2"/>
          <w:szCs w:val="12"/>
          <w:b w:val="1"/>
          <w:bCs w:val="1"/>
          <w:color w:val="auto"/>
        </w:rPr>
        <w:t>PROPOSAL NO. 2</w:t>
      </w:r>
    </w:p>
    <w:p>
      <w:pPr>
        <w:jc w:val="center"/>
        <w:spacing w:after="0" w:line="219" w:lineRule="auto"/>
        <w:rPr>
          <w:sz w:val="20"/>
          <w:szCs w:val="20"/>
          <w:color w:val="auto"/>
        </w:rPr>
      </w:pPr>
      <w:r>
        <w:rPr>
          <w:rFonts w:ascii="Times New Roman" w:cs="Times New Roman" w:eastAsia="Times New Roman" w:hAnsi="Times New Roman"/>
          <w:sz w:val="12"/>
          <w:szCs w:val="12"/>
          <w:b w:val="1"/>
          <w:bCs w:val="1"/>
          <w:color w:val="auto"/>
        </w:rPr>
        <w:t>APPROVAL OF APPOINTMENT OF ERNST &amp; YOUNG LLP AS INDEPENDENT</w:t>
      </w:r>
    </w:p>
    <w:p>
      <w:pPr>
        <w:jc w:val="center"/>
        <w:spacing w:after="0"/>
        <w:rPr>
          <w:sz w:val="20"/>
          <w:szCs w:val="20"/>
          <w:color w:val="auto"/>
        </w:rPr>
      </w:pPr>
      <w:r>
        <w:rPr>
          <w:rFonts w:ascii="Times New Roman" w:cs="Times New Roman" w:eastAsia="Times New Roman" w:hAnsi="Times New Roman"/>
          <w:sz w:val="12"/>
          <w:szCs w:val="12"/>
          <w:b w:val="1"/>
          <w:bCs w:val="1"/>
          <w:color w:val="auto"/>
        </w:rPr>
        <w:t>REGISTERED PUBLIC ACCOUNTING FIRM</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Proposed Independent Registered Public Accounting Firm</w:t>
      </w:r>
    </w:p>
    <w:p>
      <w:pPr>
        <w:spacing w:after="0" w:line="154" w:lineRule="exact"/>
        <w:rPr>
          <w:sz w:val="20"/>
          <w:szCs w:val="20"/>
          <w:color w:val="auto"/>
        </w:rPr>
      </w:pPr>
    </w:p>
    <w:p>
      <w:pPr>
        <w:jc w:val="both"/>
        <w:ind w:right="40" w:firstLine="240"/>
        <w:spacing w:after="0" w:line="265" w:lineRule="auto"/>
        <w:rPr>
          <w:sz w:val="20"/>
          <w:szCs w:val="20"/>
          <w:color w:val="auto"/>
        </w:rPr>
      </w:pPr>
      <w:r>
        <w:rPr>
          <w:rFonts w:ascii="Times New Roman" w:cs="Times New Roman" w:eastAsia="Times New Roman" w:hAnsi="Times New Roman"/>
          <w:sz w:val="12"/>
          <w:szCs w:val="12"/>
          <w:color w:val="auto"/>
        </w:rPr>
        <w:t>Ernst &amp; Young LLP, independent registered public accountants, served as the independent registered public accounting firm for us and our subsidiaries for the fiscal years ended December 31, 2024 and 2023. The Audit Committee has appointed Ernst &amp; Young LLP to be our independent registered public accounting firm for the fiscal year ending December 31, 2025 and has further directed that the selection of the independent registered public accounting firm be submitted for approval by the stockholders at the Annual Meeting.</w:t>
      </w:r>
    </w:p>
    <w:p>
      <w:pPr>
        <w:spacing w:after="0" w:line="119" w:lineRule="exact"/>
        <w:rPr>
          <w:sz w:val="20"/>
          <w:szCs w:val="20"/>
          <w:color w:val="auto"/>
        </w:rPr>
      </w:pPr>
    </w:p>
    <w:p>
      <w:pPr>
        <w:ind w:right="580" w:firstLine="240"/>
        <w:spacing w:after="0" w:line="279" w:lineRule="auto"/>
        <w:rPr>
          <w:sz w:val="20"/>
          <w:szCs w:val="20"/>
          <w:color w:val="auto"/>
        </w:rPr>
      </w:pPr>
      <w:r>
        <w:rPr>
          <w:rFonts w:ascii="Times New Roman" w:cs="Times New Roman" w:eastAsia="Times New Roman" w:hAnsi="Times New Roman"/>
          <w:sz w:val="12"/>
          <w:szCs w:val="12"/>
          <w:color w:val="auto"/>
        </w:rPr>
        <w:t>Representatives of Ernst &amp; Young LLP will be present in person at the Annual Meeting, will be given the opportunity to make a statement, if they so desire, and will be available to respond to appropriate questions from stockholders.</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The Board of Directors recommends that you vote FOR the approval of the appointment of Ernst &amp; Young LLP as independent registered public accounting firm for the Company for fiscal year 2025.</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Principal Accountant Fees and Services</w:t>
      </w:r>
    </w:p>
    <w:p>
      <w:pPr>
        <w:spacing w:after="0" w:line="1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The table below sets forth the aggregate fees and expenses for the years ended December 31, 2024 and 2023 for professional services performed by our independent registered public accounting firm, Ernst &amp; Young LLP: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440" w:type="dxa"/>
            <w:vAlign w:val="bottom"/>
          </w:tcPr>
          <w:p>
            <w:pPr>
              <w:spacing w:after="0"/>
              <w:rPr>
                <w:sz w:val="11"/>
                <w:szCs w:val="11"/>
                <w:color w:val="auto"/>
              </w:rPr>
            </w:pPr>
          </w:p>
        </w:tc>
        <w:tc>
          <w:tcPr>
            <w:tcW w:w="7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2540" w:type="dxa"/>
            <w:vAlign w:val="bottom"/>
            <w:tcBorders>
              <w:bottom w:val="single" w:sz="8" w:color="auto"/>
            </w:tcBorders>
            <w:gridSpan w:val="4"/>
          </w:tcPr>
          <w:p>
            <w:pPr>
              <w:jc w:val="right"/>
              <w:ind w:right="842"/>
              <w:spacing w:after="0"/>
              <w:rPr>
                <w:sz w:val="20"/>
                <w:szCs w:val="20"/>
                <w:color w:val="auto"/>
              </w:rPr>
            </w:pPr>
            <w:r>
              <w:rPr>
                <w:rFonts w:ascii="Times New Roman" w:cs="Times New Roman" w:eastAsia="Times New Roman" w:hAnsi="Times New Roman"/>
                <w:sz w:val="10"/>
                <w:szCs w:val="10"/>
                <w:b w:val="1"/>
                <w:bCs w:val="1"/>
                <w:color w:val="auto"/>
              </w:rPr>
              <w:t>Year Ended December 31,</w:t>
            </w:r>
          </w:p>
        </w:tc>
      </w:tr>
      <w:tr>
        <w:trPr>
          <w:trHeight w:val="286"/>
        </w:trPr>
        <w:tc>
          <w:tcPr>
            <w:tcW w:w="8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(in thousands)</w:t>
            </w:r>
          </w:p>
        </w:tc>
        <w:tc>
          <w:tcPr>
            <w:tcW w:w="16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0"/>
                <w:szCs w:val="10"/>
                <w:b w:val="1"/>
                <w:bCs w:val="1"/>
                <w:color w:val="auto"/>
              </w:rPr>
              <w:t>2024</w:t>
            </w:r>
          </w:p>
        </w:tc>
        <w:tc>
          <w:tcPr>
            <w:tcW w:w="14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204"/>
        </w:trPr>
        <w:tc>
          <w:tcPr>
            <w:tcW w:w="8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Audit Fees</w:t>
            </w:r>
            <w:r>
              <w:rPr>
                <w:rFonts w:ascii="Times New Roman" w:cs="Times New Roman" w:eastAsia="Times New Roman" w:hAnsi="Times New Roman"/>
                <w:sz w:val="15"/>
                <w:szCs w:val="15"/>
                <w:color w:val="auto"/>
                <w:vertAlign w:val="superscript"/>
              </w:rPr>
              <w:t>(1)</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7,112</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6,044</w:t>
            </w:r>
          </w:p>
        </w:tc>
      </w:tr>
      <w:tr>
        <w:trPr>
          <w:trHeight w:val="207"/>
        </w:trPr>
        <w:tc>
          <w:tcPr>
            <w:tcW w:w="84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Audit-Related Fees</w:t>
            </w:r>
            <w:r>
              <w:rPr>
                <w:rFonts w:ascii="Times New Roman" w:cs="Times New Roman" w:eastAsia="Times New Roman" w:hAnsi="Times New Roman"/>
                <w:sz w:val="15"/>
                <w:szCs w:val="15"/>
                <w:color w:val="auto"/>
                <w:vertAlign w:val="superscript"/>
              </w:rPr>
              <w:t>(2)</w:t>
            </w:r>
          </w:p>
        </w:tc>
        <w:tc>
          <w:tcPr>
            <w:tcW w:w="320" w:type="dxa"/>
            <w:vAlign w:val="bottom"/>
          </w:tcPr>
          <w:p>
            <w:pPr>
              <w:spacing w:after="0"/>
              <w:rPr>
                <w:sz w:val="18"/>
                <w:szCs w:val="18"/>
                <w:color w:val="auto"/>
              </w:rPr>
            </w:pP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2"/>
                <w:szCs w:val="12"/>
                <w:color w:val="auto"/>
              </w:rPr>
              <w:t>1,920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w:t>
            </w:r>
          </w:p>
        </w:tc>
      </w:tr>
      <w:tr>
        <w:trPr>
          <w:trHeight w:val="187"/>
        </w:trPr>
        <w:tc>
          <w:tcPr>
            <w:tcW w:w="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w w:val="96"/>
                <w:shd w:val="clear" w:color="auto" w:fill="CCEEFF"/>
              </w:rPr>
              <w:t>Tax Fees</w:t>
            </w:r>
          </w:p>
        </w:tc>
        <w:tc>
          <w:tcPr>
            <w:tcW w:w="7840" w:type="dxa"/>
            <w:vAlign w:val="bottom"/>
            <w:tcBorders>
              <w:bottom w:val="single" w:sz="8" w:color="CCEEFF"/>
            </w:tcBorders>
            <w:shd w:val="clear" w:color="auto" w:fill="CCEEFF"/>
          </w:tcPr>
          <w:p>
            <w:pPr>
              <w:jc w:val="right"/>
              <w:ind w:right="7728"/>
              <w:spacing w:after="0"/>
              <w:rPr>
                <w:sz w:val="20"/>
                <w:szCs w:val="20"/>
                <w:color w:val="auto"/>
              </w:rPr>
            </w:pPr>
            <w:r>
              <w:rPr>
                <w:rFonts w:ascii="Times New Roman" w:cs="Times New Roman" w:eastAsia="Times New Roman" w:hAnsi="Times New Roman"/>
                <w:sz w:val="6"/>
                <w:szCs w:val="6"/>
                <w:color w:val="auto"/>
                <w:w w:val="85"/>
                <w:shd w:val="clear" w:color="auto" w:fill="CCEEFF"/>
              </w:rPr>
              <w:t>(3)</w:t>
            </w:r>
          </w:p>
        </w:tc>
        <w:tc>
          <w:tcPr>
            <w:tcW w:w="1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20</w:t>
            </w:r>
          </w:p>
        </w:tc>
        <w:tc>
          <w:tcPr>
            <w:tcW w:w="1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8</w:t>
            </w:r>
          </w:p>
        </w:tc>
      </w:tr>
      <w:tr>
        <w:trPr>
          <w:trHeight w:val="153"/>
        </w:trPr>
        <w:tc>
          <w:tcPr>
            <w:tcW w:w="84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All Other Fees</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7</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7</w:t>
            </w:r>
          </w:p>
        </w:tc>
      </w:tr>
      <w:tr>
        <w:trPr>
          <w:trHeight w:val="142"/>
        </w:trPr>
        <w:tc>
          <w:tcPr>
            <w:tcW w:w="84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Total Fees</w:t>
            </w:r>
          </w:p>
        </w:tc>
        <w:tc>
          <w:tcPr>
            <w:tcW w:w="32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9,059</w:t>
            </w:r>
          </w:p>
        </w:tc>
        <w:tc>
          <w:tcPr>
            <w:tcW w:w="140" w:type="dxa"/>
            <w:vAlign w:val="bottom"/>
          </w:tcPr>
          <w:p>
            <w:pPr>
              <w:spacing w:after="0"/>
              <w:rPr>
                <w:sz w:val="12"/>
                <w:szCs w:val="12"/>
                <w:color w:val="auto"/>
              </w:rPr>
            </w:pPr>
          </w:p>
        </w:tc>
        <w:tc>
          <w:tcPr>
            <w:tcW w:w="1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6,059</w:t>
            </w:r>
          </w:p>
        </w:tc>
      </w:tr>
      <w:tr>
        <w:trPr>
          <w:trHeight w:val="20"/>
        </w:trPr>
        <w:tc>
          <w:tcPr>
            <w:tcW w:w="44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6218555</wp:posOffset>
            </wp:positionH>
            <wp:positionV relativeFrom="paragraph">
              <wp:posOffset>-622300</wp:posOffset>
            </wp:positionV>
            <wp:extent cx="914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1440" cy="5715"/>
                    </a:xfrm>
                    <a:prstGeom prst="rect">
                      <a:avLst/>
                    </a:prstGeom>
                    <a:noFill/>
                  </pic:spPr>
                </pic:pic>
              </a:graphicData>
            </a:graphic>
          </wp:anchor>
        </w:drawing>
        <w:drawing>
          <wp:anchor simplePos="0" relativeHeight="251657728" behindDoc="1" locked="0" layoutInCell="0" allowOverlap="1">
            <wp:simplePos x="0" y="0"/>
            <wp:positionH relativeFrom="column">
              <wp:posOffset>5264150</wp:posOffset>
            </wp:positionH>
            <wp:positionV relativeFrom="paragraph">
              <wp:posOffset>-622300</wp:posOffset>
            </wp:positionV>
            <wp:extent cx="9144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1440" cy="5715"/>
                    </a:xfrm>
                    <a:prstGeom prst="rect">
                      <a:avLst/>
                    </a:prstGeom>
                    <a:noFill/>
                  </pic:spPr>
                </pic:pic>
              </a:graphicData>
            </a:graphic>
          </wp:anchor>
        </w:drawing>
      </w:r>
    </w:p>
    <w:p>
      <w:pPr>
        <w:spacing w:after="0" w:line="218" w:lineRule="exact"/>
        <w:rPr>
          <w:sz w:val="20"/>
          <w:szCs w:val="20"/>
          <w:color w:val="auto"/>
        </w:rPr>
      </w:pPr>
    </w:p>
    <w:p>
      <w:pPr>
        <w:ind w:left="420" w:right="200" w:hanging="416"/>
        <w:spacing w:after="0" w:line="202" w:lineRule="auto"/>
        <w:tabs>
          <w:tab w:leader="none" w:pos="420" w:val="left"/>
        </w:tabs>
        <w:numPr>
          <w:ilvl w:val="0"/>
          <w:numId w:val="2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Audit fees consists of fees for audit services rendered for the audit of our annual consolidated financial statements, the review of quarterly reports on Form 10-Q, statutory audits required, comfort letters, consents, assistance with and review of documents filed with the SEC, and other attest services.</w:t>
      </w:r>
    </w:p>
    <w:p>
      <w:pPr>
        <w:spacing w:after="0" w:line="69" w:lineRule="exact"/>
        <w:rPr>
          <w:rFonts w:ascii="Times New Roman" w:cs="Times New Roman" w:eastAsia="Times New Roman" w:hAnsi="Times New Roman"/>
          <w:sz w:val="12"/>
          <w:szCs w:val="12"/>
          <w:color w:val="auto"/>
          <w:vertAlign w:val="superscript"/>
        </w:rPr>
      </w:pPr>
    </w:p>
    <w:p>
      <w:pPr>
        <w:ind w:left="420" w:hanging="416"/>
        <w:spacing w:after="0"/>
        <w:tabs>
          <w:tab w:leader="none" w:pos="420" w:val="left"/>
        </w:tabs>
        <w:numPr>
          <w:ilvl w:val="0"/>
          <w:numId w:val="2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Audit-related fees consist of fees for diligence services and audit services provided for potential transactions.</w:t>
      </w:r>
    </w:p>
    <w:p>
      <w:pPr>
        <w:spacing w:after="0" w:line="78" w:lineRule="exact"/>
        <w:rPr>
          <w:rFonts w:ascii="Times New Roman" w:cs="Times New Roman" w:eastAsia="Times New Roman" w:hAnsi="Times New Roman"/>
          <w:sz w:val="12"/>
          <w:szCs w:val="12"/>
          <w:color w:val="auto"/>
          <w:vertAlign w:val="superscript"/>
        </w:rPr>
      </w:pPr>
    </w:p>
    <w:p>
      <w:pPr>
        <w:ind w:left="420" w:hanging="416"/>
        <w:spacing w:after="0"/>
        <w:tabs>
          <w:tab w:leader="none" w:pos="420" w:val="left"/>
        </w:tabs>
        <w:numPr>
          <w:ilvl w:val="0"/>
          <w:numId w:val="2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10"/>
          <w:szCs w:val="10"/>
          <w:color w:val="auto"/>
        </w:rPr>
        <w:t>Tax fees consists of fees for professional services rendered by our principal accountant for tax compliance services.</w:t>
      </w:r>
    </w:p>
    <w:p>
      <w:pPr>
        <w:spacing w:after="0" w:line="213" w:lineRule="exact"/>
        <w:rPr>
          <w:sz w:val="20"/>
          <w:szCs w:val="20"/>
          <w:color w:val="auto"/>
        </w:rPr>
      </w:pPr>
    </w:p>
    <w:p>
      <w:pPr>
        <w:ind w:right="160" w:firstLine="216"/>
        <w:spacing w:after="0" w:line="265" w:lineRule="auto"/>
        <w:rPr>
          <w:sz w:val="20"/>
          <w:szCs w:val="20"/>
          <w:color w:val="auto"/>
        </w:rPr>
      </w:pPr>
      <w:r>
        <w:rPr>
          <w:rFonts w:ascii="Times New Roman" w:cs="Times New Roman" w:eastAsia="Times New Roman" w:hAnsi="Times New Roman"/>
          <w:sz w:val="12"/>
          <w:szCs w:val="12"/>
          <w:color w:val="auto"/>
        </w:rPr>
        <w:t>Our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responsible for confirming the independence and objectivity of our independent registered public accounting firm. Our independent registered public accounting firm has been given unrestricted access to the audit committee and our management.</w:t>
      </w:r>
    </w:p>
    <w:p>
      <w:pPr>
        <w:spacing w:after="0" w:line="119" w:lineRule="exact"/>
        <w:rPr>
          <w:sz w:val="20"/>
          <w:szCs w:val="20"/>
          <w:color w:val="auto"/>
        </w:rPr>
      </w:pPr>
    </w:p>
    <w:p>
      <w:pPr>
        <w:ind w:right="120" w:firstLine="216"/>
        <w:spacing w:after="0" w:line="257" w:lineRule="auto"/>
        <w:rPr>
          <w:sz w:val="20"/>
          <w:szCs w:val="20"/>
          <w:color w:val="auto"/>
        </w:rPr>
      </w:pPr>
      <w:r>
        <w:rPr>
          <w:rFonts w:ascii="Times New Roman" w:cs="Times New Roman" w:eastAsia="Times New Roman" w:hAnsi="Times New Roman"/>
          <w:sz w:val="12"/>
          <w:szCs w:val="12"/>
          <w:color w:val="auto"/>
        </w:rPr>
        <w:t>The audit committee has adopted a pre-approval policy with respect to services which may be performed by Ernst &amp; Young LLP. This policy lists specific audit-related and tax services as well as any other services that Ernst &amp; Young LLP is authorized to perform and sets out specific dollar limits for each specific service, which may not be exceeded without additional audit committee authorization. The audit committee receives reports on the status of expenditures pursuant to that pre-approval policy. The audit committee reviews the policy at least annually in order to approve services and limits for the current year. Any service that is not enumerated in the policy must receive specific pre-approval by the audit committee. The charter of the audit committee and its pre-approval policy require that the audit committee review and pre-approve the plan and scope of Ernst &amp; Young LLP’s audit, audit-related, tax and other services.</w:t>
      </w:r>
    </w:p>
    <w:p>
      <w:pPr>
        <w:spacing w:after="0" w:line="125"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Our audit committee has approved the appointment of Ernst &amp; Young LLP as independent registered public accounting firm to conduct the audit of the Company’s consolidated financial statements for the year ending December 31, 2025.</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43" w:right="299" w:bottom="1440" w:gutter="0" w:footer="0" w:header="0"/>
        </w:sectPr>
      </w:pPr>
    </w:p>
    <w:bookmarkStart w:id="40" w:name="page41"/>
    <w:bookmarkEnd w:id="40"/>
    <w:p>
      <w:pPr>
        <w:ind w:left="3720"/>
        <w:spacing w:after="0"/>
        <w:rPr>
          <w:sz w:val="20"/>
          <w:szCs w:val="20"/>
          <w:color w:val="auto"/>
        </w:rPr>
      </w:pPr>
      <w:r>
        <w:rPr>
          <w:rFonts w:ascii="Times New Roman" w:cs="Times New Roman" w:eastAsia="Times New Roman" w:hAnsi="Times New Roman"/>
          <w:sz w:val="12"/>
          <w:szCs w:val="12"/>
          <w:b w:val="1"/>
          <w:bCs w:val="1"/>
          <w:color w:val="auto"/>
        </w:rPr>
        <w:t>ADVANCE NOTICE FOR STOCKHOLDER NOMINATIONS AND PROPOSALS</w:t>
      </w:r>
    </w:p>
    <w:p>
      <w:pPr>
        <w:spacing w:after="0" w:line="2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2"/>
          <w:szCs w:val="12"/>
          <w:b w:val="1"/>
          <w:bCs w:val="1"/>
          <w:color w:val="auto"/>
        </w:rPr>
        <w:t>FOR 2026 ANNUAL MEETING</w:t>
      </w:r>
    </w:p>
    <w:p>
      <w:pPr>
        <w:spacing w:after="0" w:line="139" w:lineRule="exact"/>
        <w:rPr>
          <w:sz w:val="20"/>
          <w:szCs w:val="20"/>
          <w:color w:val="auto"/>
        </w:rPr>
      </w:pPr>
    </w:p>
    <w:p>
      <w:pPr>
        <w:ind w:firstLine="216"/>
        <w:spacing w:after="0" w:line="257" w:lineRule="auto"/>
        <w:rPr>
          <w:sz w:val="20"/>
          <w:szCs w:val="20"/>
          <w:color w:val="auto"/>
        </w:rPr>
      </w:pPr>
      <w:r>
        <w:rPr>
          <w:rFonts w:ascii="Times New Roman" w:cs="Times New Roman" w:eastAsia="Times New Roman" w:hAnsi="Times New Roman"/>
          <w:sz w:val="12"/>
          <w:szCs w:val="12"/>
          <w:color w:val="auto"/>
        </w:rPr>
        <w:t>Proposals received from stockholders are given careful consideration by the Company in accordance with Rule 14a-8 under the Exchange Act. Stockholder proposals are eligible for consideration for inclusion in the proxy statement for the 2026 annual meeting of stockholders if they are received by the Company no later than December 30, 2025. However, if the 2026 annual meeting date is advanced or delayed by more than 30 days from the anniversary of the previous year’s meeting, to be timely a proposal by the stockholders must be received no later than a reasonable time before the Company begins to print and send its proxy materials. In addition, all proposals will need to comply with Rule 14a-8, which lists the requirements for inclusion of stockholder proposals in company-sponsored proxy materials. Any proposal should be directed to the attention of the Company’s Secretary at 111 W. 19th Street, 8th Floor, New York, New York 10011.</w:t>
      </w:r>
    </w:p>
    <w:p>
      <w:pPr>
        <w:spacing w:after="0" w:line="125" w:lineRule="exact"/>
        <w:rPr>
          <w:sz w:val="20"/>
          <w:szCs w:val="20"/>
          <w:color w:val="auto"/>
        </w:rPr>
      </w:pPr>
    </w:p>
    <w:p>
      <w:pPr>
        <w:ind w:right="20" w:firstLine="162"/>
        <w:spacing w:after="0" w:line="255" w:lineRule="auto"/>
        <w:rPr>
          <w:sz w:val="20"/>
          <w:szCs w:val="20"/>
          <w:color w:val="auto"/>
        </w:rPr>
      </w:pPr>
      <w:r>
        <w:rPr>
          <w:rFonts w:ascii="Times New Roman" w:cs="Times New Roman" w:eastAsia="Times New Roman" w:hAnsi="Times New Roman"/>
          <w:sz w:val="12"/>
          <w:szCs w:val="12"/>
          <w:color w:val="auto"/>
        </w:rPr>
        <w:t>In order for a stockholder proposal, including proposals regarding director nominees, submitted outside of Rule 14a-8 to be considered at any annual meeting of stockholders, our Bylaws requires that such proposal be made by an eligible stockholder who has delivered a timely notice to the Secretary of the Company at our principal executive offices and otherwise meets the information and procedural requirements prescribed by our Bylaws. Subject to certain exceptions, in order for a proposal relating to business to be conducted at our 2026 annual meeting of stockholders to be “timely” under the Bylaws, it must be received by the Secretary of the Company at our principal executive office no earlier than December 30, 2025 and no later than January 29, 2026. However, if the 2026 meeting is called for on a date that is more than 30 days before or after June 18, 2026, for a stockholder’s notice to be timely, it must be received no later than the close of business on the 10th day following the day on which public disclosure of the date of the annual meeting is first made by the Company. All director nominations and stockholder proposals, other than stockholder proposals made pursuant to Rule 14a-8, must comply with the requirements of our Bylaws, or they may be excluded from consideration at the meeting. In addition to satisfying the foregoing requirements, stockholders who intend to solicit proxies in support of director nominees other than the Company’s nominees must provide notice that sets forth the information required by Rule 14a-19 under the Exchange Act by April 19, 2026.</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OTHER MATTERS</w:t>
      </w:r>
    </w:p>
    <w:p>
      <w:pPr>
        <w:spacing w:after="0" w:line="1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On April 24, 2025, Ms. Shin announced to the Company that she was resigning from her role as Chief Accounting Officer effective April 29, 2025.</w:t>
      </w:r>
    </w:p>
    <w:p>
      <w:pPr>
        <w:spacing w:after="0" w:line="150" w:lineRule="exact"/>
        <w:rPr>
          <w:sz w:val="20"/>
          <w:szCs w:val="20"/>
          <w:color w:val="auto"/>
        </w:rPr>
      </w:pPr>
    </w:p>
    <w:p>
      <w:pPr>
        <w:ind w:right="400" w:firstLine="216"/>
        <w:spacing w:after="0" w:line="279" w:lineRule="auto"/>
        <w:rPr>
          <w:sz w:val="20"/>
          <w:szCs w:val="20"/>
          <w:color w:val="auto"/>
        </w:rPr>
      </w:pPr>
      <w:r>
        <w:rPr>
          <w:rFonts w:ascii="Times New Roman" w:cs="Times New Roman" w:eastAsia="Times New Roman" w:hAnsi="Times New Roman"/>
          <w:sz w:val="12"/>
          <w:szCs w:val="12"/>
          <w:color w:val="auto"/>
        </w:rPr>
        <w:t>The Board of Directors knows of no other business to be brought before the Annual Meeting. If any other matters properly come before the Annual Meeting, the proxies will be voted on such matters in accordance with the judgment of the persons named as proxies therein, or their substitutes, present and acting at the meeting.</w:t>
      </w:r>
    </w:p>
    <w:p>
      <w:pPr>
        <w:spacing w:after="0" w:line="1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No person is authorized to give any information or to make any representation not contained in this Proxy Statement, and, if given or made, such information or representation should not be relied upon as having been authorized.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delivery of this Proxy Statement shall not, under any circumstances, imply that there has not been any change in the information set forth herein since the date of the Proxy Statement.</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39370</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55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2"/>
          <w:szCs w:val="12"/>
          <w:b w:val="1"/>
          <w:bCs w:val="1"/>
          <w:color w:val="auto"/>
        </w:rPr>
        <w:t>ADDITIONAL INFORMATION</w:t>
      </w:r>
    </w:p>
    <w:p>
      <w:pPr>
        <w:spacing w:after="0" w:line="154" w:lineRule="exact"/>
        <w:rPr>
          <w:sz w:val="20"/>
          <w:szCs w:val="20"/>
          <w:color w:val="auto"/>
        </w:rPr>
      </w:pPr>
    </w:p>
    <w:p>
      <w:pPr>
        <w:ind w:right="40" w:firstLine="216"/>
        <w:spacing w:after="0" w:line="265" w:lineRule="auto"/>
        <w:rPr>
          <w:sz w:val="20"/>
          <w:szCs w:val="20"/>
          <w:color w:val="auto"/>
        </w:rPr>
      </w:pPr>
      <w:r>
        <w:rPr>
          <w:rFonts w:ascii="Times New Roman" w:cs="Times New Roman" w:eastAsia="Times New Roman" w:hAnsi="Times New Roman"/>
          <w:sz w:val="12"/>
          <w:szCs w:val="12"/>
          <w:color w:val="auto"/>
        </w:rPr>
        <w:t xml:space="preserve">We file annual, quarterly and current reports, proxy statements and other information with the SEC, which are available to the public from commercial document retrieval services and on the website maintained by the SEC at www.sec.gov. </w:t>
      </w:r>
      <w:r>
        <w:rPr>
          <w:rFonts w:ascii="Times New Roman" w:cs="Times New Roman" w:eastAsia="Times New Roman" w:hAnsi="Times New Roman"/>
          <w:sz w:val="12"/>
          <w:szCs w:val="12"/>
          <w:b w:val="1"/>
          <w:bCs w:val="1"/>
          <w:color w:val="auto"/>
        </w:rPr>
        <w:t>In addition, our SEC filings are available, free of charge, on our website: www.newfortressenergy.com.</w:t>
      </w:r>
      <w:r>
        <w:rPr>
          <w:rFonts w:ascii="Times New Roman" w:cs="Times New Roman" w:eastAsia="Times New Roman" w:hAnsi="Times New Roman"/>
          <w:sz w:val="12"/>
          <w:szCs w:val="12"/>
          <w:color w:val="auto"/>
        </w:rPr>
        <w:t xml:space="preserve"> Such information will also be furnished upon written request to New Fortress Energy Inc., 111 W. 19th Street, 8th Floor, New York, New York 10011, Attention: Investor Relations.</w:t>
      </w:r>
    </w:p>
    <w:p>
      <w:pPr>
        <w:spacing w:after="0" w:line="119" w:lineRule="exact"/>
        <w:rPr>
          <w:sz w:val="20"/>
          <w:szCs w:val="20"/>
          <w:color w:val="auto"/>
        </w:rPr>
      </w:pPr>
    </w:p>
    <w:p>
      <w:pPr>
        <w:ind w:firstLine="216"/>
        <w:spacing w:after="0" w:line="255" w:lineRule="auto"/>
        <w:rPr>
          <w:sz w:val="20"/>
          <w:szCs w:val="20"/>
          <w:color w:val="auto"/>
        </w:rPr>
      </w:pPr>
      <w:r>
        <w:rPr>
          <w:rFonts w:ascii="Times New Roman" w:cs="Times New Roman" w:eastAsia="Times New Roman" w:hAnsi="Times New Roman"/>
          <w:sz w:val="12"/>
          <w:szCs w:val="12"/>
          <w:color w:val="auto"/>
        </w:rPr>
        <w:t>The SEC has adopted rules that permit companies and intermediaries, such as brokers, to satisfy delivery requirements for proxy materials, including the annual report, proxy statement and Internet Notice, if applicable, with respect to two or more stockholders sharing the same address by delivering a single set of proxy materials addressed to those stockholders. This process, which is commonly referred to as “householding,” potentially provides extra convenience for stockholders and cost savings for companies. The Company and some brokers household proxy materials, delivering a single set of proxy materials to multiple stockholders sharing an address unless contrary instructions have been received from the affected stockholders. 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and would prefer to receive a separate set of proxy materials, please notify your broker if your shares are held in a brokerage account or the Company if you hold registered shares. You can notify the Company by sending a written request to New Fortress Energy Inc. 111 W. 19th Street, 8th Floor, New York, New York 10011, Attention: Investor Relations or by contacting Investor Relations at ir@newfortressenergy.com, and we will deliver promptly a separate set of proxy materials.</w:t>
      </w:r>
    </w:p>
    <w:p>
      <w:pPr>
        <w:spacing w:after="0" w:line="126" w:lineRule="exact"/>
        <w:rPr>
          <w:sz w:val="20"/>
          <w:szCs w:val="20"/>
          <w:color w:val="auto"/>
        </w:rPr>
      </w:pPr>
    </w:p>
    <w:p>
      <w:pPr>
        <w:ind w:firstLine="216"/>
        <w:spacing w:after="0" w:line="279" w:lineRule="auto"/>
        <w:rPr>
          <w:sz w:val="20"/>
          <w:szCs w:val="20"/>
          <w:color w:val="auto"/>
        </w:rPr>
      </w:pPr>
      <w:r>
        <w:rPr>
          <w:rFonts w:ascii="Times New Roman" w:cs="Times New Roman" w:eastAsia="Times New Roman" w:hAnsi="Times New Roman"/>
          <w:sz w:val="12"/>
          <w:szCs w:val="12"/>
          <w:color w:val="auto"/>
        </w:rPr>
        <w:t>Instead of receiving future copies of our proxy materials by mail, you can elect to receive an e-mail that will provide electronic links to these documents. Opting to receive your proxy materials online will save the cost of producing and mailing documents to your home or business, will give you an electronic link to the proxy voting site and also will help preserve environmental resources.</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 xml:space="preserve">Stockholders of Record. </w:t>
      </w:r>
      <w:r>
        <w:rPr>
          <w:rFonts w:ascii="Times New Roman" w:cs="Times New Roman" w:eastAsia="Times New Roman" w:hAnsi="Times New Roman"/>
          <w:sz w:val="12"/>
          <w:szCs w:val="12"/>
          <w:color w:val="auto"/>
        </w:rPr>
        <w:t>If you vote on the Internet at www.proxyvote.com, simply follow the prompts for enrolling in the electronic proxy delivery service.</w:t>
      </w:r>
    </w:p>
    <w:p>
      <w:pPr>
        <w:spacing w:after="0" w:line="150" w:lineRule="exact"/>
        <w:rPr>
          <w:sz w:val="20"/>
          <w:szCs w:val="20"/>
          <w:color w:val="auto"/>
        </w:rPr>
      </w:pPr>
    </w:p>
    <w:p>
      <w:pPr>
        <w:ind w:right="340" w:firstLine="216"/>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Street Name Holders. </w:t>
      </w:r>
      <w:r>
        <w:rPr>
          <w:rFonts w:ascii="Times New Roman" w:cs="Times New Roman" w:eastAsia="Times New Roman" w:hAnsi="Times New Roman"/>
          <w:sz w:val="12"/>
          <w:szCs w:val="12"/>
          <w:color w:val="auto"/>
        </w:rPr>
        <w:t>If you hold your shares in a bank or brokerage account, you also may have the opportunity to receive the proxy materials electronically. Please check the information provided in the proxy materials you</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receive from your bank or broker regarding the availability of this service.</w:t>
      </w:r>
    </w:p>
    <w:p>
      <w:pPr>
        <w:spacing w:after="0" w:line="10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Your election to receive proxy materials by email will remain in effect until you terminate it.</w:t>
      </w:r>
    </w:p>
    <w:p>
      <w:pPr>
        <w:spacing w:after="0" w:line="17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By Order of the Board of Directors,</w:t>
      </w:r>
    </w:p>
    <w:p>
      <w:pPr>
        <w:spacing w:after="0" w:line="16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/s/ Kevin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10795</wp:posOffset>
            </wp:positionV>
            <wp:extent cx="302895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028950" cy="5715"/>
                    </a:xfrm>
                    <a:prstGeom prst="rect">
                      <a:avLst/>
                    </a:prstGeom>
                    <a:noFill/>
                  </pic:spPr>
                </pic:pic>
              </a:graphicData>
            </a:graphic>
          </wp:anchor>
        </w:drawing>
      </w:r>
    </w:p>
    <w:p>
      <w:pPr>
        <w:spacing w:after="0" w:line="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color w:val="auto"/>
        </w:rPr>
        <w:t>Kevin F. Sullivan</w:t>
      </w:r>
    </w:p>
    <w:p>
      <w:pPr>
        <w:spacing w:after="0" w:line="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2"/>
          <w:szCs w:val="12"/>
          <w:i w:val="1"/>
          <w:iCs w:val="1"/>
          <w:color w:val="auto"/>
        </w:rPr>
        <w:t>Secretary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New York, New York</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April 29,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ectPr>
          <w:pgSz w:w="11900" w:h="16838" w:orient="portrait"/>
          <w:cols w:equalWidth="0" w:num="1">
            <w:col w:w="11280"/>
          </w:cols>
          <w:pgMar w:left="300" w:top="701" w:right="319" w:bottom="1440"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104013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104013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lvl w:ilvl="1">
      <w:lvlJc w:val="left"/>
      <w:lvlText w:val="☒"/>
      <w:numFmt w:val="bullet"/>
      <w:start w:val="1"/>
    </w:lvl>
  </w:abstractNum>
  <w:abstractNum w:abstractNumId="1">
    <w:nsid w:val="DED7263"/>
    <w:multiLevelType w:val="hybridMultilevel"/>
    <w:lvl w:ilvl="0">
      <w:lvlJc w:val="left"/>
      <w:lvlText w:val="☐"/>
      <w:numFmt w:val="bullet"/>
      <w:start w:val="1"/>
    </w:lvl>
    <w:lvl w:ilvl="1">
      <w:lvlJc w:val="left"/>
      <w:lvlText w:val="☒"/>
      <w:numFmt w:val="bullet"/>
      <w:start w:val="1"/>
    </w:lvl>
  </w:abstractNum>
  <w:abstractNum w:abstractNumId="2">
    <w:nsid w:val="7FDCC233"/>
    <w:multiLevelType w:val="hybridMultilevel"/>
    <w:lvl w:ilvl="0">
      <w:lvlJc w:val="left"/>
      <w:lvlText w:val="(%1)"/>
      <w:numFmt w:val="lowerRoman"/>
      <w:start w:val="1"/>
    </w:lvl>
  </w:abstractNum>
  <w:abstractNum w:abstractNumId="3">
    <w:nsid w:val="1BEFD79F"/>
    <w:multiLevelType w:val="hybridMultilevel"/>
    <w:lvl w:ilvl="0">
      <w:lvlJc w:val="left"/>
      <w:lvlText w:val="(%1)"/>
      <w:numFmt w:val="lowerRoman"/>
      <w:start w:val="1"/>
    </w:lvl>
  </w:abstractNum>
  <w:abstractNum w:abstractNumId="4">
    <w:nsid w:val="41A7C4C9"/>
    <w:multiLevelType w:val="hybridMultilevel"/>
    <w:lvl w:ilvl="0">
      <w:lvlJc w:val="left"/>
      <w:lvlText w:val="(%1)"/>
      <w:numFmt w:val="lowerRoman"/>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lowerRoman"/>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decimal"/>
      <w:start w:val="3"/>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
      <w:numFmt w:val="bullet"/>
      <w:start w:val="1"/>
    </w:lvl>
  </w:abstractNum>
  <w:abstractNum w:abstractNumId="20">
    <w:nsid w:val="6763845E"/>
    <w:multiLevelType w:val="hybridMultilevel"/>
    <w:lvl w:ilvl="0">
      <w:lvlJc w:val="left"/>
      <w:lvlText w:val="(%1)"/>
      <w:numFmt w:val="decimal"/>
      <w:start w:val="2"/>
    </w:lvl>
  </w:abstractNum>
  <w:abstractNum w:abstractNumId="21">
    <w:nsid w:val="75A2A8D4"/>
    <w:multiLevelType w:val="hybridMultilevel"/>
    <w:lvl w:ilvl="0">
      <w:lvlJc w:val="left"/>
      <w:lvlText w:val="(%1)"/>
      <w:numFmt w:val="decimal"/>
      <w:start w:val="6"/>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
      <w:numFmt w:val="bullet"/>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2025-04-29T15:40:29Z</dcterms:created>
  <dcterms:modified xsi:type="dcterms:W3CDTF">2025-04-29T15:40:29Z</dcterms:modified>
</cp:coreProperties>
</file>