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330200</wp:posOffset>
            </wp:positionH>
            <wp:positionV relativeFrom="page">
              <wp:posOffset>59690</wp:posOffset>
            </wp:positionV>
            <wp:extent cx="70866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179070</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25"/>
          <w:szCs w:val="25"/>
          <w:color w:val="auto"/>
        </w:rPr>
        <w:t>SECURITIES AND EXCHANGE COMMISSION</w:t>
      </w:r>
    </w:p>
    <w:p>
      <w:pPr>
        <w:jc w:val="center"/>
        <w:ind w:right="-159"/>
        <w:spacing w:after="0"/>
        <w:rPr>
          <w:sz w:val="20"/>
          <w:szCs w:val="20"/>
          <w:color w:val="auto"/>
        </w:rPr>
      </w:pPr>
      <w:r>
        <w:rPr>
          <w:rFonts w:ascii="Arial" w:cs="Arial" w:eastAsia="Arial" w:hAnsi="Arial"/>
          <w:sz w:val="21"/>
          <w:szCs w:val="2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138430</wp:posOffset>
            </wp:positionV>
            <wp:extent cx="17716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1650"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153670</wp:posOffset>
            </wp:positionV>
            <wp:extent cx="17716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165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140970</wp:posOffset>
            </wp:positionV>
            <wp:extent cx="17716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165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New Fortress Energy LLC</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140335</wp:posOffset>
            </wp:positionV>
            <wp:extent cx="17716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165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6880" w:type="dxa"/>
            <w:vAlign w:val="bottom"/>
          </w:tcPr>
          <w:p>
            <w:pPr>
              <w:jc w:val="center"/>
              <w:ind w:right="1191"/>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center"/>
              <w:ind w:left="111"/>
              <w:spacing w:after="0"/>
              <w:rPr>
                <w:sz w:val="20"/>
                <w:szCs w:val="20"/>
                <w:color w:val="auto"/>
              </w:rPr>
            </w:pPr>
            <w:r>
              <w:rPr>
                <w:rFonts w:ascii="Arial" w:cs="Arial" w:eastAsia="Arial" w:hAnsi="Arial"/>
                <w:sz w:val="18"/>
                <w:szCs w:val="18"/>
                <w:b w:val="1"/>
                <w:bCs w:val="1"/>
                <w:color w:val="auto"/>
                <w:w w:val="89"/>
              </w:rPr>
              <w:t>83-1482060</w:t>
            </w:r>
          </w:p>
        </w:tc>
      </w:tr>
      <w:tr>
        <w:trPr>
          <w:trHeight w:val="215"/>
        </w:trPr>
        <w:tc>
          <w:tcPr>
            <w:tcW w:w="6880" w:type="dxa"/>
            <w:vAlign w:val="bottom"/>
          </w:tcPr>
          <w:p>
            <w:pPr>
              <w:jc w:val="center"/>
              <w:ind w:right="1191"/>
              <w:spacing w:after="0"/>
              <w:rPr>
                <w:sz w:val="20"/>
                <w:szCs w:val="20"/>
                <w:color w:val="auto"/>
              </w:rPr>
            </w:pPr>
            <w:r>
              <w:rPr>
                <w:rFonts w:ascii="Arial" w:cs="Arial" w:eastAsia="Arial" w:hAnsi="Arial"/>
                <w:sz w:val="18"/>
                <w:szCs w:val="18"/>
                <w:color w:val="auto"/>
                <w:w w:val="91"/>
              </w:rPr>
              <w:t>(State or other jurisdiction</w:t>
            </w:r>
          </w:p>
        </w:tc>
        <w:tc>
          <w:tcPr>
            <w:tcW w:w="2820" w:type="dxa"/>
            <w:vAlign w:val="bottom"/>
          </w:tcPr>
          <w:p>
            <w:pPr>
              <w:jc w:val="center"/>
              <w:ind w:left="111"/>
              <w:spacing w:after="0"/>
              <w:rPr>
                <w:sz w:val="20"/>
                <w:szCs w:val="20"/>
                <w:color w:val="auto"/>
              </w:rPr>
            </w:pPr>
            <w:r>
              <w:rPr>
                <w:rFonts w:ascii="Arial" w:cs="Arial" w:eastAsia="Arial" w:hAnsi="Arial"/>
                <w:sz w:val="18"/>
                <w:szCs w:val="18"/>
                <w:color w:val="auto"/>
                <w:w w:val="93"/>
              </w:rPr>
              <w:t>(IRS Employer</w:t>
            </w:r>
          </w:p>
        </w:tc>
      </w:tr>
      <w:tr>
        <w:trPr>
          <w:trHeight w:val="229"/>
        </w:trPr>
        <w:tc>
          <w:tcPr>
            <w:tcW w:w="6880" w:type="dxa"/>
            <w:vAlign w:val="bottom"/>
          </w:tcPr>
          <w:p>
            <w:pPr>
              <w:jc w:val="center"/>
              <w:ind w:right="1211"/>
              <w:spacing w:after="0"/>
              <w:rPr>
                <w:sz w:val="20"/>
                <w:szCs w:val="20"/>
                <w:color w:val="auto"/>
              </w:rPr>
            </w:pPr>
            <w:r>
              <w:rPr>
                <w:rFonts w:ascii="Arial" w:cs="Arial" w:eastAsia="Arial" w:hAnsi="Arial"/>
                <w:sz w:val="18"/>
                <w:szCs w:val="18"/>
                <w:color w:val="auto"/>
                <w:w w:val="92"/>
              </w:rPr>
              <w:t>of incorporation or organization)</w:t>
            </w:r>
          </w:p>
        </w:tc>
        <w:tc>
          <w:tcPr>
            <w:tcW w:w="2820" w:type="dxa"/>
            <w:vAlign w:val="bottom"/>
          </w:tcPr>
          <w:p>
            <w:pPr>
              <w:jc w:val="center"/>
              <w:ind w:left="111"/>
              <w:spacing w:after="0"/>
              <w:rPr>
                <w:sz w:val="20"/>
                <w:szCs w:val="20"/>
                <w:color w:val="auto"/>
              </w:rPr>
            </w:pPr>
            <w:r>
              <w:rPr>
                <w:rFonts w:ascii="Arial" w:cs="Arial" w:eastAsia="Arial" w:hAnsi="Arial"/>
                <w:sz w:val="18"/>
                <w:szCs w:val="18"/>
                <w:color w:val="auto"/>
                <w:w w:val="95"/>
              </w:rPr>
              <w:t>Identification No.)</w:t>
            </w:r>
          </w:p>
        </w:tc>
      </w:tr>
      <w:tr>
        <w:trPr>
          <w:trHeight w:val="437"/>
        </w:trPr>
        <w:tc>
          <w:tcPr>
            <w:tcW w:w="6880" w:type="dxa"/>
            <w:vAlign w:val="bottom"/>
          </w:tcPr>
          <w:p>
            <w:pPr>
              <w:jc w:val="center"/>
              <w:ind w:left="4231"/>
              <w:spacing w:after="0"/>
              <w:rPr>
                <w:sz w:val="20"/>
                <w:szCs w:val="20"/>
                <w:color w:val="auto"/>
              </w:rPr>
            </w:pPr>
            <w:r>
              <w:rPr>
                <w:rFonts w:ascii="Arial" w:cs="Arial" w:eastAsia="Arial" w:hAnsi="Arial"/>
                <w:sz w:val="18"/>
                <w:szCs w:val="18"/>
                <w:b w:val="1"/>
                <w:bCs w:val="1"/>
                <w:color w:val="auto"/>
                <w:w w:val="86"/>
              </w:rPr>
              <w:t>111 W. 19</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Street, 8</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2820" w:type="dxa"/>
            <w:vAlign w:val="bottom"/>
          </w:tcPr>
          <w:p>
            <w:pPr>
              <w:spacing w:after="0"/>
              <w:rPr>
                <w:sz w:val="24"/>
                <w:szCs w:val="24"/>
                <w:color w:val="auto"/>
              </w:rPr>
            </w:pPr>
          </w:p>
        </w:tc>
      </w:tr>
      <w:tr>
        <w:trPr>
          <w:trHeight w:val="219"/>
        </w:trPr>
        <w:tc>
          <w:tcPr>
            <w:tcW w:w="6880" w:type="dxa"/>
            <w:vAlign w:val="bottom"/>
          </w:tcPr>
          <w:p>
            <w:pPr>
              <w:jc w:val="center"/>
              <w:ind w:left="4211"/>
              <w:spacing w:after="0"/>
              <w:rPr>
                <w:sz w:val="20"/>
                <w:szCs w:val="20"/>
                <w:color w:val="auto"/>
              </w:rPr>
            </w:pPr>
            <w:r>
              <w:rPr>
                <w:rFonts w:ascii="Arial" w:cs="Arial" w:eastAsia="Arial" w:hAnsi="Arial"/>
                <w:sz w:val="18"/>
                <w:szCs w:val="18"/>
                <w:b w:val="1"/>
                <w:bCs w:val="1"/>
                <w:color w:val="auto"/>
                <w:w w:val="91"/>
              </w:rPr>
              <w:t>New York, NY 10011</w:t>
            </w:r>
          </w:p>
        </w:tc>
        <w:tc>
          <w:tcPr>
            <w:tcW w:w="2820" w:type="dxa"/>
            <w:vAlign w:val="bottom"/>
          </w:tcPr>
          <w:p>
            <w:pPr>
              <w:spacing w:after="0"/>
              <w:rPr>
                <w:sz w:val="19"/>
                <w:szCs w:val="19"/>
                <w:color w:val="auto"/>
              </w:rPr>
            </w:pPr>
          </w:p>
        </w:tc>
      </w:tr>
      <w:tr>
        <w:trPr>
          <w:trHeight w:val="229"/>
        </w:trPr>
        <w:tc>
          <w:tcPr>
            <w:tcW w:w="9700" w:type="dxa"/>
            <w:vAlign w:val="bottom"/>
            <w:gridSpan w:val="2"/>
          </w:tcPr>
          <w:p>
            <w:pPr>
              <w:jc w:val="center"/>
              <w:ind w:left="1391"/>
              <w:spacing w:after="0"/>
              <w:rPr>
                <w:sz w:val="20"/>
                <w:szCs w:val="20"/>
                <w:color w:val="auto"/>
              </w:rPr>
            </w:pPr>
            <w:r>
              <w:rPr>
                <w:rFonts w:ascii="Arial" w:cs="Arial" w:eastAsia="Arial" w:hAnsi="Arial"/>
                <w:sz w:val="18"/>
                <w:szCs w:val="18"/>
                <w:color w:val="auto"/>
                <w:w w:val="91"/>
              </w:rPr>
              <w:t>(Address of principal executive offices and zip code)</w:t>
            </w:r>
          </w:p>
        </w:tc>
      </w:tr>
      <w:tr>
        <w:trPr>
          <w:trHeight w:val="456"/>
        </w:trPr>
        <w:tc>
          <w:tcPr>
            <w:tcW w:w="6880" w:type="dxa"/>
            <w:vAlign w:val="bottom"/>
          </w:tcPr>
          <w:p>
            <w:pPr>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2820" w:type="dxa"/>
            <w:vAlign w:val="bottom"/>
          </w:tcPr>
          <w:p>
            <w:pPr>
              <w:spacing w:after="0"/>
              <w:rPr>
                <w:sz w:val="24"/>
                <w:szCs w:val="24"/>
                <w:color w:val="auto"/>
              </w:rPr>
            </w:pPr>
          </w:p>
        </w:tc>
      </w:tr>
      <w:tr>
        <w:trPr>
          <w:trHeight w:val="441"/>
        </w:trPr>
        <w:tc>
          <w:tcPr>
            <w:tcW w:w="6880" w:type="dxa"/>
            <w:vAlign w:val="bottom"/>
          </w:tcPr>
          <w:p>
            <w:pPr>
              <w:jc w:val="center"/>
              <w:ind w:right="1191"/>
              <w:spacing w:after="0"/>
              <w:rPr>
                <w:sz w:val="20"/>
                <w:szCs w:val="20"/>
                <w:color w:val="auto"/>
              </w:rPr>
            </w:pPr>
            <w:r>
              <w:rPr>
                <w:rFonts w:ascii="Arial" w:cs="Arial" w:eastAsia="Arial" w:hAnsi="Arial"/>
                <w:sz w:val="18"/>
                <w:szCs w:val="18"/>
                <w:color w:val="auto"/>
                <w:w w:val="88"/>
              </w:rPr>
              <w:t>Title of each class</w:t>
            </w:r>
          </w:p>
        </w:tc>
        <w:tc>
          <w:tcPr>
            <w:tcW w:w="2820" w:type="dxa"/>
            <w:vAlign w:val="bottom"/>
          </w:tcPr>
          <w:p>
            <w:pPr>
              <w:jc w:val="center"/>
              <w:ind w:left="111"/>
              <w:spacing w:after="0"/>
              <w:rPr>
                <w:sz w:val="20"/>
                <w:szCs w:val="20"/>
                <w:color w:val="auto"/>
              </w:rPr>
            </w:pPr>
            <w:r>
              <w:rPr>
                <w:rFonts w:ascii="Arial" w:cs="Arial" w:eastAsia="Arial" w:hAnsi="Arial"/>
                <w:sz w:val="18"/>
                <w:szCs w:val="18"/>
                <w:color w:val="auto"/>
                <w:w w:val="89"/>
              </w:rPr>
              <w:t>Name of each exchange on which</w:t>
            </w:r>
          </w:p>
        </w:tc>
      </w:tr>
      <w:tr>
        <w:trPr>
          <w:trHeight w:val="211"/>
        </w:trPr>
        <w:tc>
          <w:tcPr>
            <w:tcW w:w="6880" w:type="dxa"/>
            <w:vAlign w:val="bottom"/>
          </w:tcPr>
          <w:p>
            <w:pPr>
              <w:jc w:val="center"/>
              <w:ind w:right="1211"/>
              <w:spacing w:after="0"/>
              <w:rPr>
                <w:sz w:val="20"/>
                <w:szCs w:val="20"/>
                <w:color w:val="auto"/>
              </w:rPr>
            </w:pPr>
            <w:r>
              <w:rPr>
                <w:rFonts w:ascii="Arial" w:cs="Arial" w:eastAsia="Arial" w:hAnsi="Arial"/>
                <w:sz w:val="18"/>
                <w:szCs w:val="18"/>
                <w:color w:val="auto"/>
                <w:w w:val="87"/>
              </w:rPr>
              <w:t>to be so registered</w:t>
            </w:r>
          </w:p>
        </w:tc>
        <w:tc>
          <w:tcPr>
            <w:tcW w:w="2820" w:type="dxa"/>
            <w:vAlign w:val="bottom"/>
          </w:tcPr>
          <w:p>
            <w:pPr>
              <w:jc w:val="center"/>
              <w:ind w:left="111"/>
              <w:spacing w:after="0"/>
              <w:rPr>
                <w:sz w:val="20"/>
                <w:szCs w:val="20"/>
                <w:color w:val="auto"/>
              </w:rPr>
            </w:pPr>
            <w:r>
              <w:rPr>
                <w:rFonts w:ascii="Arial" w:cs="Arial" w:eastAsia="Arial" w:hAnsi="Arial"/>
                <w:sz w:val="18"/>
                <w:szCs w:val="18"/>
                <w:color w:val="auto"/>
                <w:w w:val="86"/>
              </w:rPr>
              <w:t>each class is to be registered</w:t>
            </w:r>
          </w:p>
        </w:tc>
      </w:tr>
      <w:tr>
        <w:trPr>
          <w:trHeight w:val="233"/>
        </w:trPr>
        <w:tc>
          <w:tcPr>
            <w:tcW w:w="6880" w:type="dxa"/>
            <w:vAlign w:val="bottom"/>
          </w:tcPr>
          <w:p>
            <w:pPr>
              <w:jc w:val="center"/>
              <w:ind w:right="1191"/>
              <w:spacing w:after="0"/>
              <w:rPr>
                <w:sz w:val="20"/>
                <w:szCs w:val="20"/>
                <w:color w:val="auto"/>
              </w:rPr>
            </w:pPr>
            <w:r>
              <w:rPr>
                <w:rFonts w:ascii="Arial" w:cs="Arial" w:eastAsia="Arial" w:hAnsi="Arial"/>
                <w:sz w:val="18"/>
                <w:szCs w:val="18"/>
                <w:b w:val="1"/>
                <w:bCs w:val="1"/>
                <w:color w:val="auto"/>
                <w:w w:val="88"/>
              </w:rPr>
              <w:t>Class A shares representing limited liability company interests</w:t>
            </w:r>
          </w:p>
        </w:tc>
        <w:tc>
          <w:tcPr>
            <w:tcW w:w="2820" w:type="dxa"/>
            <w:vAlign w:val="bottom"/>
          </w:tcPr>
          <w:p>
            <w:pPr>
              <w:jc w:val="center"/>
              <w:ind w:left="111"/>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2666365</wp:posOffset>
            </wp:positionH>
            <wp:positionV relativeFrom="paragraph">
              <wp:posOffset>135890</wp:posOffset>
            </wp:positionV>
            <wp:extent cx="17716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165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208"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333-228339</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328930</wp:posOffset>
            </wp:positionV>
            <wp:extent cx="70866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482600</wp:posOffset>
            </wp:positionV>
            <wp:extent cx="70866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020"/>
          </w:cols>
          <w:pgMar w:left="520" w:top="352" w:right="700" w:bottom="1440" w:gutter="0" w:footer="0" w:header="0"/>
        </w:sectPr>
      </w:pPr>
    </w:p>
    <w:bookmarkStart w:id="1" w:name="page2"/>
    <w:bookmarkEnd w:id="1"/>
    <w:p>
      <w:pPr>
        <w:ind w:left="30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0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53" w:lineRule="exact"/>
        <w:rPr>
          <w:sz w:val="20"/>
          <w:szCs w:val="20"/>
          <w:color w:val="auto"/>
        </w:rPr>
      </w:pPr>
    </w:p>
    <w:p>
      <w:pPr>
        <w:ind w:right="500" w:firstLine="322"/>
        <w:spacing w:after="0" w:line="274" w:lineRule="auto"/>
        <w:rPr>
          <w:sz w:val="20"/>
          <w:szCs w:val="20"/>
          <w:color w:val="auto"/>
        </w:rPr>
      </w:pPr>
      <w:r>
        <w:rPr>
          <w:rFonts w:ascii="Arial" w:cs="Arial" w:eastAsia="Arial" w:hAnsi="Arial"/>
          <w:sz w:val="18"/>
          <w:szCs w:val="18"/>
          <w:color w:val="auto"/>
        </w:rPr>
        <w:t>The class of securities to be registered hereby are Class A shares representing limited liability company interests (the “</w:t>
      </w:r>
      <w:r>
        <w:rPr>
          <w:rFonts w:ascii="Arial" w:cs="Arial" w:eastAsia="Arial" w:hAnsi="Arial"/>
          <w:sz w:val="18"/>
          <w:szCs w:val="18"/>
          <w:b w:val="1"/>
          <w:bCs w:val="1"/>
          <w:i w:val="1"/>
          <w:iCs w:val="1"/>
          <w:color w:val="auto"/>
        </w:rPr>
        <w:t>Class A shares</w:t>
      </w:r>
      <w:r>
        <w:rPr>
          <w:rFonts w:ascii="Arial" w:cs="Arial" w:eastAsia="Arial" w:hAnsi="Arial"/>
          <w:sz w:val="18"/>
          <w:szCs w:val="18"/>
          <w:color w:val="auto"/>
        </w:rPr>
        <w:t>”), of New Fortress Energy LLC, a Delaware limited liability company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p>
      <w:pPr>
        <w:spacing w:after="0" w:line="198" w:lineRule="exact"/>
        <w:rPr>
          <w:sz w:val="20"/>
          <w:szCs w:val="20"/>
          <w:color w:val="auto"/>
        </w:rPr>
      </w:pPr>
    </w:p>
    <w:p>
      <w:pPr>
        <w:ind w:right="260" w:firstLine="322"/>
        <w:spacing w:after="0" w:line="277" w:lineRule="auto"/>
        <w:rPr>
          <w:sz w:val="20"/>
          <w:szCs w:val="20"/>
          <w:color w:val="auto"/>
        </w:rPr>
      </w:pPr>
      <w:r>
        <w:rPr>
          <w:rFonts w:ascii="Arial" w:cs="Arial" w:eastAsia="Arial" w:hAnsi="Arial"/>
          <w:sz w:val="17"/>
          <w:szCs w:val="17"/>
          <w:color w:val="auto"/>
        </w:rPr>
        <w:t>A description of the Class A shares is set forth under the captions “Summary” and “Description of Shares” in the prospectus to be filed by the Registrant pursuant to Rule 424(b) under the Securities Act of 1933, as amended, which prospectus will constitute a part of the Registrant’s Registration Statement on Form S-1, as amended (Registration No. 333-228339), initially filed with the Securities and Exchange Commission on November 9, 2018. Such prospectus, in the form in which it is so filed, shall be deemed to be incorporated herein by reference.</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53" w:lineRule="exact"/>
        <w:rPr>
          <w:sz w:val="20"/>
          <w:szCs w:val="20"/>
          <w:color w:val="auto"/>
        </w:rPr>
      </w:pPr>
    </w:p>
    <w:p>
      <w:pPr>
        <w:jc w:val="both"/>
        <w:ind w:firstLine="322"/>
        <w:spacing w:after="0" w:line="339" w:lineRule="auto"/>
        <w:rPr>
          <w:sz w:val="20"/>
          <w:szCs w:val="20"/>
          <w:color w:val="auto"/>
        </w:rPr>
      </w:pPr>
      <w:r>
        <w:rPr>
          <w:rFonts w:ascii="Arial" w:cs="Arial" w:eastAsia="Arial" w:hAnsi="Arial"/>
          <w:sz w:val="16"/>
          <w:szCs w:val="16"/>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Exchange Act.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35" w:lineRule="exact"/>
        <w:rPr>
          <w:sz w:val="20"/>
          <w:szCs w:val="20"/>
          <w:color w:val="auto"/>
        </w:rPr>
      </w:pPr>
    </w:p>
    <w:p>
      <w:pPr>
        <w:ind w:firstLine="322"/>
        <w:spacing w:after="0" w:line="274"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NEW FORTRESS ENERGY LLC</w:t>
      </w:r>
    </w:p>
    <w:p>
      <w:pPr>
        <w:spacing w:after="0" w:line="226"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13970</wp:posOffset>
            </wp:positionV>
            <wp:extent cx="31769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690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Christopher S. Guinta</w:t>
      </w:r>
    </w:p>
    <w:p>
      <w:pPr>
        <w:spacing w:after="0" w:line="2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January 30, 2019</w:t>
      </w:r>
    </w:p>
    <w:p>
      <w:pPr>
        <w:spacing w:after="0" w:line="24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0866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17145"/>
                    </a:xfrm>
                    <a:prstGeom prst="rect">
                      <a:avLst/>
                    </a:prstGeom>
                    <a:noFill/>
                  </pic:spPr>
                </pic:pic>
              </a:graphicData>
            </a:graphic>
          </wp:anchor>
        </w:drawing>
      </w:r>
    </w:p>
    <w:sectPr>
      <w:pgSz w:w="12240" w:h="15840" w:orient="portrait"/>
      <w:cols w:equalWidth="0" w:num="1">
        <w:col w:w="10780"/>
      </w:cols>
      <w:pgMar w:left="520" w:top="0" w:right="9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2019-12-15T18:53:36Z</dcterms:created>
  <dcterms:modified xsi:type="dcterms:W3CDTF">2019-12-15T18:53:36Z</dcterms:modified>
</cp:coreProperties>
</file>